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cs="Times New Roman"/>
          <w:color w:val="auto"/>
          <w:sz w:val="2"/>
          <w:szCs w:val="2"/>
        </w:rPr>
      </w:pPr>
    </w:p>
    <w:tbl>
      <w:tblPr>
        <w:tblStyle w:val="7"/>
        <w:tblW w:w="15353" w:type="dxa"/>
        <w:tblInd w:w="0" w:type="dxa"/>
        <w:tblLayout w:type="fixed"/>
        <w:tblCellMar>
          <w:top w:w="0" w:type="dxa"/>
          <w:left w:w="0" w:type="dxa"/>
          <w:bottom w:w="0" w:type="dxa"/>
          <w:right w:w="0" w:type="dxa"/>
        </w:tblCellMar>
      </w:tblPr>
      <w:tblGrid>
        <w:gridCol w:w="4763"/>
        <w:gridCol w:w="4762"/>
        <w:gridCol w:w="5828"/>
      </w:tblGrid>
      <w:tr>
        <w:tblPrEx>
          <w:tblCellMar>
            <w:top w:w="0" w:type="dxa"/>
            <w:left w:w="0" w:type="dxa"/>
            <w:bottom w:w="0" w:type="dxa"/>
            <w:right w:w="0" w:type="dxa"/>
          </w:tblCellMar>
        </w:tblPrEx>
        <w:trPr>
          <w:trHeight w:val="4222" w:hRule="exact"/>
        </w:trPr>
        <w:tc>
          <w:tcPr>
            <w:tcW w:w="15353"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hint="default" w:ascii="Dialog" w:hAnsi="Times New Roman" w:cs="Dialog"/>
                <w:sz w:val="40"/>
                <w:szCs w:val="40"/>
              </w:rPr>
            </w:pPr>
            <w:r>
              <w:rPr>
                <w:rFonts w:ascii="Dialog" w:hAnsi="Times New Roman" w:cs="Dialog"/>
                <w:sz w:val="40"/>
                <w:szCs w:val="40"/>
              </w:rPr>
              <w:t>上海市2022年区级单位预算</w:t>
            </w:r>
          </w:p>
        </w:tc>
      </w:tr>
      <w:tr>
        <w:tblPrEx>
          <w:tblCellMar>
            <w:top w:w="0" w:type="dxa"/>
            <w:left w:w="0" w:type="dxa"/>
            <w:bottom w:w="0" w:type="dxa"/>
            <w:right w:w="0" w:type="dxa"/>
          </w:tblCellMar>
        </w:tblPrEx>
        <w:trPr>
          <w:trHeight w:val="2901" w:hRule="exact"/>
        </w:trPr>
        <w:tc>
          <w:tcPr>
            <w:tcW w:w="15353"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120" w:beforeLines="50" w:after="240" w:afterLines="100" w:line="285" w:lineRule="exact"/>
              <w:ind w:left="20"/>
              <w:jc w:val="center"/>
              <w:rPr>
                <w:rFonts w:hint="default" w:ascii="Dialog" w:hAnsi="Times New Roman" w:cs="Dialog"/>
                <w:b/>
                <w:sz w:val="40"/>
                <w:szCs w:val="40"/>
              </w:rPr>
            </w:pPr>
            <w:r>
              <w:rPr>
                <w:rFonts w:ascii="Dialog" w:hAnsi="Times New Roman" w:cs="Dialog"/>
                <w:b/>
                <w:sz w:val="40"/>
                <w:szCs w:val="40"/>
              </w:rPr>
              <w:t>预算单位：026182上海工程技术大学附属松江泗泾实验学校</w:t>
            </w:r>
          </w:p>
          <w:p>
            <w:pPr>
              <w:spacing w:line="285" w:lineRule="exact"/>
              <w:ind w:left="20"/>
              <w:jc w:val="center"/>
              <w:rPr>
                <w:rFonts w:hint="default" w:ascii="Dialog" w:hAnsi="Times New Roman" w:cs="Dialog"/>
                <w:sz w:val="32"/>
                <w:szCs w:val="32"/>
              </w:rPr>
            </w:pPr>
          </w:p>
          <w:p>
            <w:pPr>
              <w:spacing w:line="285" w:lineRule="exact"/>
              <w:ind w:left="20"/>
              <w:jc w:val="center"/>
              <w:rPr>
                <w:rFonts w:hint="default" w:ascii="Dialog" w:hAnsi="Times New Roman" w:cs="Dialog"/>
                <w:sz w:val="32"/>
                <w:szCs w:val="32"/>
              </w:rPr>
            </w:pPr>
          </w:p>
          <w:p>
            <w:pPr>
              <w:spacing w:before="240" w:beforeLines="100" w:after="240" w:afterLines="100" w:line="285" w:lineRule="exact"/>
              <w:ind w:left="20"/>
              <w:jc w:val="center"/>
              <w:rPr>
                <w:rFonts w:hint="default" w:ascii="Dialog" w:hAnsi="Times New Roman" w:cs="Dialog"/>
                <w:sz w:val="32"/>
                <w:szCs w:val="32"/>
              </w:rPr>
            </w:pPr>
          </w:p>
          <w:p>
            <w:pPr>
              <w:spacing w:line="285" w:lineRule="exact"/>
              <w:ind w:left="20"/>
              <w:jc w:val="center"/>
              <w:rPr>
                <w:rFonts w:hint="default" w:ascii="Dialog" w:hAnsi="Times New Roman" w:cs="Dialog"/>
                <w:sz w:val="32"/>
                <w:szCs w:val="32"/>
              </w:rPr>
            </w:pPr>
          </w:p>
          <w:p>
            <w:pPr>
              <w:spacing w:line="285" w:lineRule="exact"/>
              <w:ind w:left="20"/>
              <w:jc w:val="center"/>
              <w:rPr>
                <w:rFonts w:hint="default" w:ascii="Dialog" w:hAnsi="Times New Roman" w:cs="Dialog"/>
                <w:sz w:val="32"/>
                <w:szCs w:val="32"/>
              </w:rPr>
            </w:pPr>
          </w:p>
        </w:tc>
      </w:tr>
      <w:tr>
        <w:tblPrEx>
          <w:tblCellMar>
            <w:top w:w="0" w:type="dxa"/>
            <w:left w:w="0" w:type="dxa"/>
            <w:bottom w:w="0" w:type="dxa"/>
            <w:right w:w="0" w:type="dxa"/>
          </w:tblCellMar>
        </w:tblPrEx>
        <w:trPr>
          <w:trHeight w:val="1325" w:hRule="exact"/>
        </w:trPr>
        <w:tc>
          <w:tcPr>
            <w:tcW w:w="476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240" w:beforeLines="100" w:after="120" w:afterLines="50" w:line="285" w:lineRule="exact"/>
              <w:ind w:left="20"/>
              <w:jc w:val="center"/>
              <w:rPr>
                <w:rFonts w:hint="default" w:ascii="Dialog" w:hAnsi="Times New Roman" w:cs="Dialog"/>
                <w:b/>
                <w:sz w:val="32"/>
                <w:szCs w:val="32"/>
              </w:rPr>
            </w:pPr>
            <w:r>
              <w:rPr>
                <w:rFonts w:ascii="Dialog" w:hAnsi="Times New Roman" w:cs="Dialog"/>
                <w:b/>
                <w:sz w:val="32"/>
                <w:szCs w:val="32"/>
              </w:rPr>
              <w:t>制表人: 沈琴</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196" w:beforeLines="82" w:line="285" w:lineRule="exact"/>
              <w:ind w:left="20"/>
              <w:jc w:val="center"/>
              <w:rPr>
                <w:rFonts w:hint="default" w:ascii="Dialog" w:hAnsi="Times New Roman" w:cs="Dialog"/>
                <w:b/>
                <w:sz w:val="32"/>
                <w:szCs w:val="32"/>
              </w:rPr>
            </w:pPr>
            <w:r>
              <w:rPr>
                <w:rFonts w:ascii="Dialog" w:hAnsi="Times New Roman" w:cs="Dialog"/>
                <w:b/>
                <w:sz w:val="32"/>
                <w:szCs w:val="32"/>
              </w:rPr>
              <w:t>审核人:</w:t>
            </w:r>
          </w:p>
        </w:tc>
        <w:tc>
          <w:tcPr>
            <w:tcW w:w="5828"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180" w:beforeLines="75" w:line="285" w:lineRule="exact"/>
              <w:ind w:left="20"/>
              <w:jc w:val="center"/>
              <w:rPr>
                <w:rFonts w:hint="default" w:ascii="Dialog" w:hAnsi="Times New Roman" w:cs="Dialog"/>
                <w:b/>
                <w:sz w:val="32"/>
                <w:szCs w:val="32"/>
              </w:rPr>
            </w:pPr>
            <w:r>
              <w:rPr>
                <w:rFonts w:ascii="Dialog" w:hAnsi="Times New Roman" w:cs="Dialog"/>
                <w:b/>
                <w:sz w:val="32"/>
                <w:szCs w:val="32"/>
              </w:rPr>
              <w:t>日期：</w:t>
            </w: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4173" w:type="dxa"/>
        <w:tblInd w:w="0"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hint="default" w:ascii="Dialog" w:hAnsi="Times New Roman" w:cs="Dialog"/>
                <w:sz w:val="40"/>
                <w:szCs w:val="40"/>
              </w:rPr>
            </w:pPr>
            <w:r>
              <w:rPr>
                <w:rFonts w:ascii="Dialog" w:hAnsi="Times New Roman" w:cs="Dialog"/>
                <w:b/>
                <w:sz w:val="40"/>
                <w:szCs w:val="40"/>
              </w:rPr>
              <w:t>目录</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一、单位主要职能</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二、单位机构设置</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三、名词解释 </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四、单位预算编制说明</w:t>
            </w:r>
          </w:p>
        </w:tc>
      </w:tr>
      <w:tr>
        <w:tblPrEx>
          <w:tblCellMar>
            <w:top w:w="0" w:type="dxa"/>
            <w:left w:w="0" w:type="dxa"/>
            <w:bottom w:w="0" w:type="dxa"/>
            <w:right w:w="0" w:type="dxa"/>
          </w:tblCellMar>
        </w:tblPrEx>
        <w:trPr>
          <w:trHeight w:val="55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五、单位预算表</w:t>
            </w:r>
          </w:p>
        </w:tc>
      </w:tr>
      <w:tr>
        <w:tblPrEx>
          <w:tblCellMar>
            <w:top w:w="0" w:type="dxa"/>
            <w:left w:w="0" w:type="dxa"/>
            <w:bottom w:w="0" w:type="dxa"/>
            <w:right w:w="0" w:type="dxa"/>
          </w:tblCellMar>
        </w:tblPrEx>
        <w:trPr>
          <w:trHeight w:val="62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1. 2022年单位财务收支预算总表</w:t>
            </w:r>
          </w:p>
        </w:tc>
      </w:tr>
      <w:tr>
        <w:tblPrEx>
          <w:tblCellMar>
            <w:top w:w="0" w:type="dxa"/>
            <w:left w:w="0" w:type="dxa"/>
            <w:bottom w:w="0" w:type="dxa"/>
            <w:right w:w="0" w:type="dxa"/>
          </w:tblCellMar>
        </w:tblPrEx>
        <w:trPr>
          <w:trHeight w:val="595"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2. 2022年单位收入预算总表</w:t>
            </w:r>
          </w:p>
        </w:tc>
      </w:tr>
      <w:tr>
        <w:tblPrEx>
          <w:tblCellMar>
            <w:top w:w="0" w:type="dxa"/>
            <w:left w:w="0" w:type="dxa"/>
            <w:bottom w:w="0" w:type="dxa"/>
            <w:right w:w="0" w:type="dxa"/>
          </w:tblCellMar>
        </w:tblPrEx>
        <w:trPr>
          <w:trHeight w:val="58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3. 2022年单位支出预算总表</w:t>
            </w:r>
          </w:p>
        </w:tc>
      </w:tr>
      <w:tr>
        <w:tblPrEx>
          <w:tblCellMar>
            <w:top w:w="0" w:type="dxa"/>
            <w:left w:w="0" w:type="dxa"/>
            <w:bottom w:w="0" w:type="dxa"/>
            <w:right w:w="0" w:type="dxa"/>
          </w:tblCellMar>
        </w:tblPrEx>
        <w:trPr>
          <w:trHeight w:val="6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4. 2022年单位财政拨款收支预算总表</w:t>
            </w:r>
          </w:p>
        </w:tc>
      </w:tr>
      <w:tr>
        <w:tblPrEx>
          <w:tblCellMar>
            <w:top w:w="0" w:type="dxa"/>
            <w:left w:w="0" w:type="dxa"/>
            <w:bottom w:w="0" w:type="dxa"/>
            <w:right w:w="0" w:type="dxa"/>
          </w:tblCellMar>
        </w:tblPrEx>
        <w:trPr>
          <w:trHeight w:val="595"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5. 2022年单位一般公共预算支出功能分类预算表</w:t>
            </w:r>
          </w:p>
        </w:tc>
      </w:tr>
      <w:tr>
        <w:tblPrEx>
          <w:tblCellMar>
            <w:top w:w="0" w:type="dxa"/>
            <w:left w:w="0" w:type="dxa"/>
            <w:bottom w:w="0" w:type="dxa"/>
            <w:right w:w="0" w:type="dxa"/>
          </w:tblCellMar>
        </w:tblPrEx>
        <w:trPr>
          <w:trHeight w:val="64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6. 2022年单位政府性基金预算支出功能分类预算表</w:t>
            </w:r>
          </w:p>
        </w:tc>
      </w:tr>
      <w:tr>
        <w:tblPrEx>
          <w:tblCellMar>
            <w:top w:w="0" w:type="dxa"/>
            <w:left w:w="0" w:type="dxa"/>
            <w:bottom w:w="0" w:type="dxa"/>
            <w:right w:w="0" w:type="dxa"/>
          </w:tblCellMar>
        </w:tblPrEx>
        <w:trPr>
          <w:trHeight w:val="595"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7. 2022年单位国有资本经营预算支出功能分类预算表</w:t>
            </w:r>
          </w:p>
        </w:tc>
      </w:tr>
      <w:tr>
        <w:tblPrEx>
          <w:tblCellMar>
            <w:top w:w="0" w:type="dxa"/>
            <w:left w:w="0" w:type="dxa"/>
            <w:bottom w:w="0" w:type="dxa"/>
            <w:right w:w="0" w:type="dxa"/>
          </w:tblCellMar>
        </w:tblPrEx>
        <w:trPr>
          <w:trHeight w:val="515"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8. 2022年单位一般公共预算基本支出部门预算经济分类预算表</w:t>
            </w:r>
          </w:p>
        </w:tc>
      </w:tr>
      <w:tr>
        <w:tblPrEx>
          <w:tblCellMar>
            <w:top w:w="0" w:type="dxa"/>
            <w:left w:w="0" w:type="dxa"/>
            <w:bottom w:w="0" w:type="dxa"/>
            <w:right w:w="0" w:type="dxa"/>
          </w:tblCellMar>
        </w:tblPrEx>
        <w:trPr>
          <w:trHeight w:val="725"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9. 2022年单位“三公”经费和机关运行经费预算表</w:t>
            </w:r>
          </w:p>
        </w:tc>
      </w:tr>
      <w:tr>
        <w:tblPrEx>
          <w:tblCellMar>
            <w:top w:w="0" w:type="dxa"/>
            <w:left w:w="0" w:type="dxa"/>
            <w:bottom w:w="0" w:type="dxa"/>
            <w:right w:w="0" w:type="dxa"/>
          </w:tblCellMar>
        </w:tblPrEx>
        <w:trPr>
          <w:trHeight w:val="88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六、其他相关情况说明 </w:t>
            </w: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9418" w:type="dxa"/>
        <w:tblInd w:w="0" w:type="dxa"/>
        <w:tblLayout w:type="fixed"/>
        <w:tblCellMar>
          <w:top w:w="0" w:type="dxa"/>
          <w:left w:w="0" w:type="dxa"/>
          <w:bottom w:w="0" w:type="dxa"/>
          <w:right w:w="0" w:type="dxa"/>
        </w:tblCellMar>
      </w:tblPr>
      <w:tblGrid>
        <w:gridCol w:w="19418"/>
      </w:tblGrid>
      <w:tr>
        <w:tblPrEx>
          <w:tblCellMar>
            <w:top w:w="0" w:type="dxa"/>
            <w:left w:w="0" w:type="dxa"/>
            <w:bottom w:w="0" w:type="dxa"/>
            <w:right w:w="0" w:type="dxa"/>
          </w:tblCellMar>
        </w:tblPrEx>
        <w:trPr>
          <w:trHeight w:val="793" w:hRule="exact"/>
        </w:trPr>
        <w:tc>
          <w:tcPr>
            <w:tcW w:w="19418"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after="962" w:afterLines="401"/>
              <w:jc w:val="center"/>
              <w:rPr>
                <w:rFonts w:hint="default" w:ascii="黑体" w:eastAsia="黑体" w:cs="Times New Roman"/>
                <w:sz w:val="40"/>
                <w:szCs w:val="40"/>
              </w:rPr>
            </w:pPr>
            <w:r>
              <w:rPr>
                <w:rFonts w:ascii="黑体" w:eastAsia="黑体" w:cs="黑体"/>
                <w:sz w:val="40"/>
                <w:szCs w:val="40"/>
              </w:rPr>
              <w:t>第一部分   上海工程技术大学附属松江泗泾实验学校概况</w:t>
            </w:r>
          </w:p>
          <w:p>
            <w:pPr>
              <w:spacing w:line="480" w:lineRule="exact"/>
              <w:ind w:left="20"/>
              <w:jc w:val="center"/>
              <w:rPr>
                <w:rFonts w:hint="default" w:ascii="Dialog" w:hAnsi="Times New Roman" w:cs="Dialog"/>
                <w:sz w:val="40"/>
                <w:szCs w:val="40"/>
              </w:rPr>
            </w:pPr>
          </w:p>
        </w:tc>
      </w:tr>
      <w:tr>
        <w:tblPrEx>
          <w:tblCellMar>
            <w:top w:w="0" w:type="dxa"/>
            <w:left w:w="0" w:type="dxa"/>
            <w:bottom w:w="0" w:type="dxa"/>
            <w:right w:w="0" w:type="dxa"/>
          </w:tblCellMar>
        </w:tblPrEx>
        <w:trPr>
          <w:trHeight w:val="510" w:hRule="exact"/>
        </w:trPr>
        <w:tc>
          <w:tcPr>
            <w:tcW w:w="19418"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rPr>
                <w:rFonts w:hint="default" w:ascii="Dialog" w:hAnsi="Times New Roman" w:cs="Dialog"/>
                <w:sz w:val="20"/>
                <w:szCs w:val="20"/>
              </w:rPr>
            </w:pPr>
          </w:p>
        </w:tc>
      </w:tr>
      <w:tr>
        <w:tblPrEx>
          <w:tblCellMar>
            <w:top w:w="0" w:type="dxa"/>
            <w:left w:w="0" w:type="dxa"/>
            <w:bottom w:w="0" w:type="dxa"/>
            <w:right w:w="0" w:type="dxa"/>
          </w:tblCellMar>
        </w:tblPrEx>
        <w:trPr>
          <w:trHeight w:val="8615" w:hRule="exact"/>
        </w:trPr>
        <w:tc>
          <w:tcPr>
            <w:tcW w:w="19418"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b/>
                <w:sz w:val="32"/>
                <w:szCs w:val="32"/>
              </w:rPr>
            </w:pPr>
            <w:r>
              <w:rPr>
                <w:b/>
                <w:sz w:val="32"/>
                <w:szCs w:val="32"/>
              </w:rPr>
              <w:t>一、主要职能</w:t>
            </w:r>
          </w:p>
          <w:p>
            <w:pPr>
              <w:ind w:firstLine="960" w:firstLineChars="300"/>
              <w:rPr>
                <w:rFonts w:hint="default"/>
                <w:sz w:val="32"/>
                <w:szCs w:val="32"/>
              </w:rPr>
            </w:pPr>
            <w:r>
              <w:rPr>
                <w:sz w:val="32"/>
                <w:szCs w:val="32"/>
              </w:rPr>
              <w:t>上海工程技术大学附属松江泗泾实验学校为公办九年一贯制学校。内设党支部、校长室、办公室、工会、教导处、政教处、总务处，分别负责处理各部门工作。主要工作职责如下:</w:t>
            </w:r>
          </w:p>
          <w:p>
            <w:pPr>
              <w:ind w:firstLine="960" w:firstLineChars="300"/>
              <w:rPr>
                <w:rFonts w:hint="default"/>
                <w:sz w:val="32"/>
                <w:szCs w:val="32"/>
              </w:rPr>
            </w:pPr>
          </w:p>
          <w:p>
            <w:pPr>
              <w:ind w:left="640" w:hanging="640" w:hangingChars="200"/>
              <w:rPr>
                <w:rFonts w:hint="default"/>
                <w:sz w:val="32"/>
                <w:szCs w:val="32"/>
              </w:rPr>
            </w:pPr>
            <w:r>
              <w:rPr>
                <w:sz w:val="32"/>
                <w:szCs w:val="32"/>
              </w:rPr>
              <w:t>1、根据上级精神，立足学校实际，依法制定学校章程、发展规划、工作计划等，并研究具体的管理办法和实施细则,以确学校各项工作有序落实。</w:t>
            </w:r>
          </w:p>
          <w:p>
            <w:pPr>
              <w:ind w:left="640" w:hanging="640" w:hangingChars="200"/>
              <w:rPr>
                <w:rFonts w:hint="default"/>
                <w:sz w:val="32"/>
                <w:szCs w:val="32"/>
              </w:rPr>
            </w:pPr>
            <w:r>
              <w:rPr>
                <w:sz w:val="32"/>
                <w:szCs w:val="32"/>
              </w:rPr>
              <w:t>2、依据《中华人民共和国教育法》、《中华人民共和国教师法》、《中国学生发展核心素养》等，以立德树人为根本任务，树立以学生发展为本理念，终生学习，与时俱进，不断提高教师队伍道德思想和专业水平，科学、规范管理学校教育教学工作。</w:t>
            </w:r>
          </w:p>
          <w:p>
            <w:pPr>
              <w:rPr>
                <w:rFonts w:hint="default"/>
                <w:sz w:val="32"/>
                <w:szCs w:val="32"/>
              </w:rPr>
            </w:pPr>
            <w:r>
              <w:rPr>
                <w:sz w:val="32"/>
                <w:szCs w:val="32"/>
              </w:rPr>
              <w:t>3、主动与社会、家庭保持联系，加强学校、家庭、社会密切配合的育人体系建设，形成教育合力。</w:t>
            </w:r>
          </w:p>
          <w:p>
            <w:pPr>
              <w:rPr>
                <w:rFonts w:hint="default"/>
                <w:sz w:val="32"/>
                <w:szCs w:val="32"/>
              </w:rPr>
            </w:pPr>
          </w:p>
          <w:p>
            <w:pPr>
              <w:numPr>
                <w:ilvl w:val="0"/>
                <w:numId w:val="1"/>
              </w:numPr>
              <w:rPr>
                <w:rFonts w:hint="default"/>
                <w:sz w:val="32"/>
                <w:szCs w:val="32"/>
              </w:rPr>
            </w:pPr>
            <w:r>
              <w:rPr>
                <w:sz w:val="32"/>
                <w:szCs w:val="32"/>
              </w:rPr>
              <w:t>严格落实财务管理制度，加强内控管理；加强服务意识，不断提高服务能级，保障办学品质。</w:t>
            </w:r>
          </w:p>
          <w:p>
            <w:pPr>
              <w:rPr>
                <w:rFonts w:hint="default"/>
                <w:sz w:val="32"/>
                <w:szCs w:val="32"/>
              </w:rPr>
            </w:pPr>
          </w:p>
          <w:p>
            <w:pPr>
              <w:numPr>
                <w:ilvl w:val="0"/>
                <w:numId w:val="1"/>
              </w:numPr>
              <w:rPr>
                <w:rFonts w:hint="default"/>
                <w:sz w:val="32"/>
                <w:szCs w:val="32"/>
              </w:rPr>
            </w:pPr>
            <w:r>
              <w:rPr>
                <w:sz w:val="32"/>
                <w:szCs w:val="32"/>
              </w:rPr>
              <w:t>建立健全卫生保健制度，严格执行卫生管理条例，从生理和心理两个方面做好学校卫生保健工作。</w:t>
            </w:r>
          </w:p>
          <w:p>
            <w:pPr>
              <w:rPr>
                <w:rFonts w:hint="default"/>
                <w:sz w:val="32"/>
                <w:szCs w:val="32"/>
              </w:rPr>
            </w:pPr>
          </w:p>
          <w:p>
            <w:pPr>
              <w:rPr>
                <w:rFonts w:hint="default"/>
                <w:sz w:val="32"/>
                <w:szCs w:val="32"/>
              </w:rPr>
            </w:pPr>
          </w:p>
          <w:p>
            <w:pPr>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spacing w:after="5520" w:afterLines="2300" w:line="255" w:lineRule="exact"/>
              <w:rPr>
                <w:rFonts w:hint="default" w:ascii="Dialog" w:hAnsi="Times New Roman" w:cs="Dialog"/>
                <w:sz w:val="40"/>
                <w:szCs w:val="40"/>
              </w:rPr>
            </w:pPr>
          </w:p>
        </w:tc>
      </w:tr>
      <w:tr>
        <w:tblPrEx>
          <w:tblCellMar>
            <w:top w:w="0" w:type="dxa"/>
            <w:left w:w="0" w:type="dxa"/>
            <w:bottom w:w="0" w:type="dxa"/>
            <w:right w:w="0" w:type="dxa"/>
          </w:tblCellMar>
        </w:tblPrEx>
        <w:trPr>
          <w:trHeight w:val="510" w:hRule="exact"/>
        </w:trPr>
        <w:tc>
          <w:tcPr>
            <w:tcW w:w="19418"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0"/>
                <w:szCs w:val="20"/>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p>
      <w:pPr>
        <w:numPr>
          <w:ilvl w:val="0"/>
          <w:numId w:val="2"/>
        </w:numPr>
        <w:rPr>
          <w:rFonts w:hint="default"/>
          <w:b/>
          <w:sz w:val="32"/>
          <w:szCs w:val="32"/>
        </w:rPr>
      </w:pPr>
      <w:r>
        <w:rPr>
          <w:b/>
          <w:sz w:val="32"/>
          <w:szCs w:val="32"/>
        </w:rPr>
        <w:t>机构设置</w:t>
      </w:r>
    </w:p>
    <w:p>
      <w:pPr>
        <w:rPr>
          <w:rFonts w:hint="default"/>
          <w:b/>
          <w:sz w:val="32"/>
          <w:szCs w:val="32"/>
        </w:rPr>
      </w:pPr>
    </w:p>
    <w:p>
      <w:pPr>
        <w:ind w:left="638" w:leftChars="266" w:firstLine="320" w:firstLineChars="100"/>
        <w:rPr>
          <w:rFonts w:hint="default"/>
          <w:sz w:val="32"/>
          <w:szCs w:val="32"/>
        </w:rPr>
      </w:pPr>
      <w:r>
        <w:rPr>
          <w:sz w:val="32"/>
          <w:szCs w:val="32"/>
        </w:rPr>
        <w:t>根据上述职责，上海工程技术大学附属松江泗泾实验学校设六个内设机构，包括:党支部、校长室、办公室、工会、教导处、政教处、总务处。</w:t>
      </w: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ind w:firstLine="960" w:firstLineChars="300"/>
        <w:rPr>
          <w:rFonts w:hint="default"/>
          <w:sz w:val="32"/>
          <w:szCs w:val="32"/>
        </w:rPr>
      </w:pPr>
    </w:p>
    <w:p>
      <w:pPr>
        <w:rPr>
          <w:rFonts w:hint="default" w:ascii="Times New Roman" w:cs="Times New Roman"/>
          <w:color w:val="auto"/>
          <w:sz w:val="2"/>
          <w:szCs w:val="2"/>
        </w:rPr>
      </w:pPr>
    </w:p>
    <w:tbl>
      <w:tblPr>
        <w:tblStyle w:val="7"/>
        <w:tblW w:w="21038" w:type="dxa"/>
        <w:tblInd w:w="0" w:type="dxa"/>
        <w:tblLayout w:type="fixed"/>
        <w:tblCellMar>
          <w:top w:w="0" w:type="dxa"/>
          <w:left w:w="0" w:type="dxa"/>
          <w:bottom w:w="0" w:type="dxa"/>
          <w:right w:w="0" w:type="dxa"/>
        </w:tblCellMar>
      </w:tblPr>
      <w:tblGrid>
        <w:gridCol w:w="14173"/>
        <w:gridCol w:w="6865"/>
      </w:tblGrid>
      <w:tr>
        <w:tblPrEx>
          <w:tblCellMar>
            <w:top w:w="0" w:type="dxa"/>
            <w:left w:w="0" w:type="dxa"/>
            <w:bottom w:w="0" w:type="dxa"/>
            <w:right w:w="0" w:type="dxa"/>
          </w:tblCellMar>
        </w:tblPrEx>
        <w:trPr>
          <w:gridAfter w:val="1"/>
          <w:wAfter w:w="6865" w:type="dxa"/>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jc w:val="center"/>
              <w:rPr>
                <w:rFonts w:hint="default" w:ascii="Dialog" w:hAnsi="Times New Roman" w:cs="Dialog"/>
                <w:sz w:val="40"/>
                <w:szCs w:val="40"/>
              </w:rPr>
            </w:pPr>
            <w:r>
              <w:rPr>
                <w:rFonts w:ascii="Dialog" w:hAnsi="Times New Roman" w:cs="Dialog"/>
                <w:b/>
                <w:sz w:val="40"/>
                <w:szCs w:val="40"/>
              </w:rPr>
              <w:t>名词解释</w:t>
            </w:r>
          </w:p>
        </w:tc>
      </w:tr>
      <w:tr>
        <w:tblPrEx>
          <w:tblCellMar>
            <w:top w:w="0" w:type="dxa"/>
            <w:left w:w="0" w:type="dxa"/>
            <w:bottom w:w="0" w:type="dxa"/>
            <w:right w:w="0" w:type="dxa"/>
          </w:tblCellMar>
        </w:tblPrEx>
        <w:trPr>
          <w:trHeight w:val="793" w:hRule="exact"/>
        </w:trPr>
        <w:tc>
          <w:tcPr>
            <w:tcW w:w="2103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rPr>
            </w:pPr>
            <w:r>
              <w:rPr>
                <w:rFonts w:ascii="Dialog" w:hAnsi="Times New Roman" w:cs="Dialog"/>
              </w:rPr>
              <w:t xml:space="preserve">   （一）财政拨款收入：是市级预算主管部门及所属预算单位本年度从本级财政部门取得的财政拨款，包括一般公共预算财政拨款、政府性基金预算财政拨款和国有资本经营预算财政拨款。</w:t>
            </w:r>
          </w:p>
        </w:tc>
      </w:tr>
      <w:tr>
        <w:tblPrEx>
          <w:tblCellMar>
            <w:top w:w="0" w:type="dxa"/>
            <w:left w:w="0" w:type="dxa"/>
            <w:bottom w:w="0" w:type="dxa"/>
            <w:right w:w="0" w:type="dxa"/>
          </w:tblCellMar>
        </w:tblPrEx>
        <w:trPr>
          <w:trHeight w:val="793" w:hRule="exact"/>
        </w:trPr>
        <w:tc>
          <w:tcPr>
            <w:tcW w:w="2103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rPr>
            </w:pPr>
            <w:r>
              <w:rPr>
                <w:rFonts w:ascii="Dialog" w:hAnsi="Times New Roman" w:cs="Dialog"/>
              </w:rPr>
              <w:t xml:space="preserve">   （二）事业收入：指事业单位开展专业业务活动及其辅助活动取得的收入。</w:t>
            </w:r>
          </w:p>
        </w:tc>
      </w:tr>
      <w:tr>
        <w:tblPrEx>
          <w:tblCellMar>
            <w:top w:w="0" w:type="dxa"/>
            <w:left w:w="0" w:type="dxa"/>
            <w:bottom w:w="0" w:type="dxa"/>
            <w:right w:w="0" w:type="dxa"/>
          </w:tblCellMar>
        </w:tblPrEx>
        <w:trPr>
          <w:trHeight w:val="793" w:hRule="exact"/>
        </w:trPr>
        <w:tc>
          <w:tcPr>
            <w:tcW w:w="2103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rPr>
            </w:pPr>
            <w:r>
              <w:rPr>
                <w:rFonts w:ascii="Dialog" w:hAnsi="Times New Roman" w:cs="Dialog"/>
              </w:rPr>
              <w:t xml:space="preserve">   （三）事业单位经营收入：指事业单位在专业业务活动及其辅助活动之外开展非独立核算经营活动取得的收入。</w:t>
            </w:r>
          </w:p>
        </w:tc>
      </w:tr>
      <w:tr>
        <w:tblPrEx>
          <w:tblCellMar>
            <w:top w:w="0" w:type="dxa"/>
            <w:left w:w="0" w:type="dxa"/>
            <w:bottom w:w="0" w:type="dxa"/>
            <w:right w:w="0" w:type="dxa"/>
          </w:tblCellMar>
        </w:tblPrEx>
        <w:trPr>
          <w:trHeight w:val="793" w:hRule="exact"/>
        </w:trPr>
        <w:tc>
          <w:tcPr>
            <w:tcW w:w="2103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rPr>
            </w:pPr>
            <w:r>
              <w:rPr>
                <w:rFonts w:ascii="Dialog" w:hAnsi="Times New Roman" w:cs="Dialog"/>
              </w:rPr>
              <w:t xml:space="preserve">   （四）其他收入：指除上述“财政拨款收入”、“事业收入”、“事业单位经营收入”等以外的收入。</w:t>
            </w:r>
          </w:p>
        </w:tc>
      </w:tr>
      <w:tr>
        <w:tblPrEx>
          <w:tblCellMar>
            <w:top w:w="0" w:type="dxa"/>
            <w:left w:w="0" w:type="dxa"/>
            <w:bottom w:w="0" w:type="dxa"/>
            <w:right w:w="0" w:type="dxa"/>
          </w:tblCellMar>
        </w:tblPrEx>
        <w:trPr>
          <w:trHeight w:val="793" w:hRule="exact"/>
        </w:trPr>
        <w:tc>
          <w:tcPr>
            <w:tcW w:w="2103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rPr>
            </w:pPr>
            <w:r>
              <w:rPr>
                <w:rFonts w:ascii="Dialog" w:hAnsi="Times New Roman" w:cs="Dialog"/>
              </w:rPr>
              <w:t xml:space="preserve">  （五）基本支出预算：是市级预算主管部门及所属预算单位为保障其机构正常运转、完成日常工作任务而编制的年度基本支出计划，包括人员经费和公用经费两部分。</w:t>
            </w:r>
          </w:p>
        </w:tc>
      </w:tr>
      <w:tr>
        <w:tblPrEx>
          <w:tblCellMar>
            <w:top w:w="0" w:type="dxa"/>
            <w:left w:w="0" w:type="dxa"/>
            <w:bottom w:w="0" w:type="dxa"/>
            <w:right w:w="0" w:type="dxa"/>
          </w:tblCellMar>
        </w:tblPrEx>
        <w:trPr>
          <w:trHeight w:val="793" w:hRule="exact"/>
        </w:trPr>
        <w:tc>
          <w:tcPr>
            <w:tcW w:w="2103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rPr>
            </w:pPr>
            <w:r>
              <w:rPr>
                <w:rFonts w:ascii="Dialog" w:hAnsi="Times New Roman" w:cs="Dialog"/>
              </w:rPr>
              <w:t xml:space="preserve">  （六）项目支出预算：是市级预算主管部门及所属预算单位为完成行政工作任务、事业发展目标或政府发展战略、特定目标，在基本支出之外编制的年度支出计划。</w:t>
            </w:r>
          </w:p>
        </w:tc>
      </w:tr>
      <w:tr>
        <w:tblPrEx>
          <w:tblCellMar>
            <w:top w:w="0" w:type="dxa"/>
            <w:left w:w="0" w:type="dxa"/>
            <w:bottom w:w="0" w:type="dxa"/>
            <w:right w:w="0" w:type="dxa"/>
          </w:tblCellMar>
        </w:tblPrEx>
        <w:trPr>
          <w:trHeight w:val="2324" w:hRule="exact"/>
        </w:trPr>
        <w:tc>
          <w:tcPr>
            <w:tcW w:w="2103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979" w:leftChars="108" w:hanging="720" w:hangingChars="300"/>
              <w:rPr>
                <w:rFonts w:hint="default" w:ascii="Dialog" w:hAnsi="Times New Roman" w:cs="Dialog"/>
              </w:rPr>
            </w:pPr>
            <w:r>
              <w:rPr>
                <w:rFonts w:ascii="Dialog" w:hAnsi="Times New Roman" w:cs="Dialog"/>
              </w:rPr>
              <w:t>（七）“三公”经费：是与市级财政有经费领拨关系的部门及其下属预算单位使用市级财政拨款安排的因公出国（境）费、公务用车购置及运行费、公务接待费。其中：因公出国（境）费主要安排机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tc>
      </w:tr>
      <w:tr>
        <w:tblPrEx>
          <w:tblCellMar>
            <w:top w:w="0" w:type="dxa"/>
            <w:left w:w="0" w:type="dxa"/>
            <w:bottom w:w="0" w:type="dxa"/>
            <w:right w:w="0" w:type="dxa"/>
          </w:tblCellMar>
        </w:tblPrEx>
        <w:trPr>
          <w:trHeight w:val="793" w:hRule="exact"/>
        </w:trPr>
        <w:tc>
          <w:tcPr>
            <w:tcW w:w="2103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firstLine="240" w:firstLineChars="100"/>
              <w:rPr>
                <w:rFonts w:hint="default" w:ascii="Dialog" w:hAnsi="Times New Roman" w:cs="Dialog"/>
              </w:rPr>
            </w:pPr>
            <w:r>
              <w:rPr>
                <w:rFonts w:ascii="Dialog" w:hAnsi="Times New Roman" w:cs="Dialog"/>
              </w:rPr>
              <w:t>（八）机关运行经费：指行政单位和参照公务员法管理的事业单位使用一般公共预算财政拨款安排的基本支出中的日常公用经费支出。</w:t>
            </w:r>
          </w:p>
        </w:tc>
      </w:tr>
      <w:tr>
        <w:tblPrEx>
          <w:tblCellMar>
            <w:top w:w="0" w:type="dxa"/>
            <w:left w:w="0" w:type="dxa"/>
            <w:bottom w:w="0" w:type="dxa"/>
            <w:right w:w="0" w:type="dxa"/>
          </w:tblCellMar>
        </w:tblPrEx>
        <w:trPr>
          <w:trHeight w:val="566" w:hRule="exact"/>
        </w:trPr>
        <w:tc>
          <w:tcPr>
            <w:tcW w:w="2103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firstLine="240" w:firstLineChars="100"/>
              <w:rPr>
                <w:rFonts w:hint="default" w:ascii="Dialog" w:hAnsi="Times New Roman" w:cs="Dialog"/>
              </w:rPr>
            </w:pPr>
            <w:r>
              <w:rPr>
                <w:rFonts w:ascii="Dialog" w:hAnsi="Times New Roman" w:cs="Dialog"/>
              </w:rPr>
              <w:t>（九）……：指……。</w:t>
            </w: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22254" w:type="dxa"/>
        <w:tblInd w:w="0" w:type="dxa"/>
        <w:tblLayout w:type="fixed"/>
        <w:tblCellMar>
          <w:top w:w="0" w:type="dxa"/>
          <w:left w:w="0" w:type="dxa"/>
          <w:bottom w:w="0" w:type="dxa"/>
          <w:right w:w="0" w:type="dxa"/>
        </w:tblCellMar>
      </w:tblPr>
      <w:tblGrid>
        <w:gridCol w:w="22254"/>
      </w:tblGrid>
      <w:tr>
        <w:tblPrEx>
          <w:tblCellMar>
            <w:top w:w="0" w:type="dxa"/>
            <w:left w:w="0" w:type="dxa"/>
            <w:bottom w:w="0" w:type="dxa"/>
            <w:right w:w="0" w:type="dxa"/>
          </w:tblCellMar>
        </w:tblPrEx>
        <w:trPr>
          <w:trHeight w:val="743" w:hRule="exact"/>
        </w:trPr>
        <w:tc>
          <w:tcPr>
            <w:tcW w:w="22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ascii="Dialog" w:hAnsi="Times New Roman" w:cs="Dialog"/>
                <w:b/>
                <w:sz w:val="40"/>
                <w:szCs w:val="40"/>
              </w:rPr>
            </w:pPr>
            <w:r>
              <w:rPr>
                <w:rFonts w:ascii="Dialog" w:hAnsi="Times New Roman" w:cs="Dialog"/>
                <w:b/>
                <w:sz w:val="40"/>
                <w:szCs w:val="40"/>
              </w:rPr>
              <w:t>2022年单位预算编制说明</w:t>
            </w:r>
          </w:p>
          <w:p>
            <w:pPr>
              <w:spacing w:line="480" w:lineRule="exact"/>
              <w:ind w:left="20"/>
              <w:jc w:val="center"/>
              <w:rPr>
                <w:rFonts w:ascii="Dialog" w:hAnsi="Times New Roman" w:cs="Dialog"/>
                <w:b/>
                <w:sz w:val="40"/>
                <w:szCs w:val="40"/>
              </w:rPr>
            </w:pPr>
          </w:p>
          <w:p>
            <w:pPr>
              <w:spacing w:line="480" w:lineRule="exact"/>
              <w:ind w:left="20"/>
              <w:jc w:val="center"/>
              <w:rPr>
                <w:rFonts w:hint="default" w:ascii="Dialog" w:hAnsi="Times New Roman" w:cs="Dialog"/>
                <w:b/>
                <w:sz w:val="40"/>
                <w:szCs w:val="40"/>
              </w:rPr>
            </w:pPr>
          </w:p>
        </w:tc>
      </w:tr>
      <w:tr>
        <w:tblPrEx>
          <w:tblCellMar>
            <w:top w:w="0" w:type="dxa"/>
            <w:left w:w="0" w:type="dxa"/>
            <w:bottom w:w="0" w:type="dxa"/>
            <w:right w:w="0" w:type="dxa"/>
          </w:tblCellMar>
        </w:tblPrEx>
        <w:trPr>
          <w:trHeight w:val="1380" w:hRule="exact"/>
        </w:trPr>
        <w:tc>
          <w:tcPr>
            <w:tcW w:w="22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Lines="0" w:afterLines="0" w:line="255" w:lineRule="exact"/>
              <w:ind w:left="20"/>
              <w:rPr>
                <w:rFonts w:hint="default" w:ascii="Dialog" w:hAnsi="Times New Roman" w:eastAsia="宋体" w:cs="Times New Roman"/>
                <w:sz w:val="20"/>
                <w:szCs w:val="24"/>
              </w:rPr>
            </w:pPr>
            <w:r>
              <w:rPr>
                <w:rFonts w:ascii="Dialog" w:hAnsi="Times New Roman" w:cs="Dialog"/>
                <w:sz w:val="20"/>
                <w:szCs w:val="20"/>
              </w:rPr>
              <w:t xml:space="preserve">      </w:t>
            </w:r>
            <w:r>
              <w:rPr>
                <w:rFonts w:hint="default" w:ascii="Dialog" w:hAnsi="Times New Roman" w:eastAsia="宋体" w:cs="Times New Roman"/>
                <w:sz w:val="20"/>
                <w:szCs w:val="24"/>
              </w:rPr>
              <w:t>2022年，上海工程技术大学附属松江泗泾实验学校</w:t>
            </w:r>
            <w:r>
              <w:rPr>
                <w:rFonts w:hint="eastAsia" w:ascii="Dialog" w:hAnsi="Times New Roman" w:eastAsia="宋体" w:cs="Times New Roman"/>
                <w:sz w:val="20"/>
                <w:szCs w:val="24"/>
              </w:rPr>
              <w:t>收入预算</w:t>
            </w:r>
            <w:r>
              <w:rPr>
                <w:rFonts w:hint="default" w:ascii="Dialog" w:hAnsi="Times New Roman" w:eastAsia="宋体" w:cs="Times New Roman"/>
                <w:sz w:val="20"/>
                <w:szCs w:val="24"/>
              </w:rPr>
              <w:t>3251</w:t>
            </w:r>
            <w:r>
              <w:rPr>
                <w:rFonts w:hint="eastAsia" w:ascii="Dialog" w:hAnsi="Times New Roman" w:eastAsia="宋体" w:cs="Times New Roman"/>
                <w:sz w:val="20"/>
                <w:szCs w:val="24"/>
              </w:rPr>
              <w:t>万元，其中：财政拨款收入</w:t>
            </w:r>
            <w:r>
              <w:rPr>
                <w:rFonts w:hint="default" w:ascii="Dialog" w:hAnsi="Times New Roman" w:eastAsia="宋体" w:cs="Times New Roman"/>
                <w:sz w:val="20"/>
                <w:szCs w:val="24"/>
              </w:rPr>
              <w:t>3251</w:t>
            </w:r>
            <w:r>
              <w:rPr>
                <w:rFonts w:hint="eastAsia" w:ascii="Dialog" w:hAnsi="Times New Roman" w:eastAsia="宋体" w:cs="Times New Roman"/>
                <w:sz w:val="20"/>
                <w:szCs w:val="24"/>
              </w:rPr>
              <w:t>万元；</w:t>
            </w:r>
            <w:r>
              <w:rPr>
                <w:rFonts w:hint="eastAsia" w:ascii="Dialog" w:hAnsi="Times New Roman" w:eastAsia="宋体" w:cs="Times New Roman"/>
                <w:sz w:val="20"/>
                <w:szCs w:val="24"/>
                <w:lang w:eastAsia="zh-CN"/>
              </w:rPr>
              <w:t>本</w:t>
            </w:r>
            <w:r>
              <w:rPr>
                <w:rFonts w:hint="default" w:ascii="Dialog" w:hAnsi="Times New Roman" w:eastAsia="宋体" w:cs="Times New Roman"/>
                <w:sz w:val="20"/>
                <w:szCs w:val="24"/>
              </w:rPr>
              <w:t>校为2021年新开学校，无</w:t>
            </w:r>
            <w:r>
              <w:rPr>
                <w:rFonts w:hint="eastAsia" w:ascii="Dialog" w:hAnsi="Times New Roman" w:eastAsia="宋体" w:cs="Times New Roman"/>
                <w:sz w:val="20"/>
                <w:szCs w:val="24"/>
                <w:lang w:eastAsia="zh-CN"/>
              </w:rPr>
              <w:t>上</w:t>
            </w:r>
            <w:r>
              <w:rPr>
                <w:rFonts w:hint="default" w:ascii="Dialog" w:hAnsi="Times New Roman" w:eastAsia="宋体" w:cs="Times New Roman"/>
                <w:sz w:val="20"/>
                <w:szCs w:val="24"/>
              </w:rPr>
              <w:t>年预算</w:t>
            </w:r>
            <w:r>
              <w:rPr>
                <w:rFonts w:hint="eastAsia" w:ascii="Dialog" w:hAnsi="Times New Roman" w:eastAsia="宋体" w:cs="Times New Roman"/>
                <w:sz w:val="20"/>
                <w:szCs w:val="24"/>
              </w:rPr>
              <w:t>；事业收入</w:t>
            </w:r>
            <w:r>
              <w:rPr>
                <w:rFonts w:hint="default" w:ascii="Dialog" w:hAnsi="Times New Roman" w:eastAsia="宋体" w:cs="Times New Roman"/>
                <w:sz w:val="20"/>
                <w:szCs w:val="24"/>
              </w:rPr>
              <w:t>0.00</w:t>
            </w:r>
            <w:r>
              <w:rPr>
                <w:rFonts w:hint="eastAsia" w:ascii="Dialog" w:hAnsi="Times New Roman" w:eastAsia="宋体" w:cs="Times New Roman"/>
                <w:sz w:val="20"/>
                <w:szCs w:val="24"/>
              </w:rPr>
              <w:t>万元；事业单位经营收入</w:t>
            </w:r>
            <w:r>
              <w:rPr>
                <w:rFonts w:hint="default" w:ascii="Dialog" w:hAnsi="Times New Roman" w:eastAsia="宋体" w:cs="Times New Roman"/>
                <w:sz w:val="20"/>
                <w:szCs w:val="24"/>
              </w:rPr>
              <w:t>0.00</w:t>
            </w:r>
            <w:r>
              <w:rPr>
                <w:rFonts w:hint="eastAsia" w:ascii="Dialog" w:hAnsi="Times New Roman" w:eastAsia="宋体" w:cs="Times New Roman"/>
                <w:sz w:val="20"/>
                <w:szCs w:val="24"/>
              </w:rPr>
              <w:t>万元；其他收入</w:t>
            </w:r>
            <w:r>
              <w:rPr>
                <w:rFonts w:hint="default" w:ascii="Dialog" w:hAnsi="Times New Roman" w:eastAsia="宋体" w:cs="Times New Roman"/>
                <w:sz w:val="20"/>
                <w:szCs w:val="24"/>
              </w:rPr>
              <w:t>0.00</w:t>
            </w:r>
            <w:r>
              <w:rPr>
                <w:rFonts w:hint="eastAsia" w:ascii="Dialog" w:hAnsi="Times New Roman" w:eastAsia="宋体" w:cs="Times New Roman"/>
                <w:sz w:val="20"/>
                <w:szCs w:val="24"/>
              </w:rPr>
              <w:t>万元。</w:t>
            </w:r>
          </w:p>
          <w:p>
            <w:pPr>
              <w:spacing w:beforeLines="0" w:afterLines="0" w:line="255" w:lineRule="exact"/>
              <w:ind w:left="20"/>
              <w:rPr>
                <w:rFonts w:hint="default" w:ascii="Dialog" w:hAnsi="Times New Roman" w:eastAsia="宋体" w:cs="Times New Roman"/>
                <w:sz w:val="20"/>
                <w:szCs w:val="24"/>
              </w:rPr>
            </w:pPr>
          </w:p>
          <w:p>
            <w:pPr>
              <w:spacing w:beforeLines="0" w:afterLines="0" w:line="255" w:lineRule="exact"/>
              <w:ind w:left="20"/>
              <w:rPr>
                <w:rFonts w:hint="default" w:ascii="Dialog" w:hAnsi="Times New Roman" w:eastAsia="宋体" w:cs="Times New Roman"/>
                <w:sz w:val="20"/>
                <w:szCs w:val="24"/>
              </w:rPr>
            </w:pPr>
            <w:r>
              <w:rPr>
                <w:rFonts w:hint="default" w:ascii="Dialog" w:hAnsi="Times New Roman" w:eastAsia="宋体" w:cs="Times New Roman"/>
                <w:sz w:val="20"/>
                <w:szCs w:val="24"/>
              </w:rPr>
              <w:t>预算支出总额为3251万元，其中：财政拨款支出预算3251万元</w:t>
            </w:r>
            <w:r>
              <w:rPr>
                <w:rFonts w:hint="eastAsia" w:ascii="Dialog" w:hAnsi="Times New Roman" w:eastAsia="宋体" w:cs="Times New Roman"/>
                <w:sz w:val="20"/>
                <w:szCs w:val="24"/>
                <w:lang w:eastAsia="zh-CN"/>
              </w:rPr>
              <w:t>，</w:t>
            </w:r>
            <w:r>
              <w:rPr>
                <w:rFonts w:hint="eastAsia" w:ascii="Dialog" w:hAnsi="Times New Roman" w:eastAsia="宋体" w:cs="Times New Roman"/>
                <w:sz w:val="20"/>
                <w:szCs w:val="24"/>
              </w:rPr>
              <w:t>财政拨款支出预算中，一般公共预算拨款支出预算</w:t>
            </w:r>
            <w:r>
              <w:rPr>
                <w:rFonts w:hint="default" w:ascii="Dialog" w:hAnsi="Times New Roman" w:eastAsia="宋体" w:cs="Times New Roman"/>
                <w:sz w:val="20"/>
                <w:szCs w:val="24"/>
              </w:rPr>
              <w:t>3251</w:t>
            </w:r>
            <w:r>
              <w:rPr>
                <w:rFonts w:hint="eastAsia" w:ascii="Dialog" w:hAnsi="Times New Roman" w:eastAsia="宋体" w:cs="Times New Roman"/>
                <w:sz w:val="20"/>
                <w:szCs w:val="24"/>
              </w:rPr>
              <w:t>万元；政府性基金拨款支出预算</w:t>
            </w:r>
            <w:r>
              <w:rPr>
                <w:rFonts w:hint="default" w:ascii="Dialog" w:hAnsi="Times New Roman" w:eastAsia="宋体" w:cs="Times New Roman"/>
                <w:sz w:val="20"/>
                <w:szCs w:val="24"/>
              </w:rPr>
              <w:t>0.00</w:t>
            </w:r>
            <w:r>
              <w:rPr>
                <w:rFonts w:hint="eastAsia" w:ascii="Dialog" w:hAnsi="Times New Roman" w:eastAsia="宋体" w:cs="Times New Roman"/>
                <w:sz w:val="20"/>
                <w:szCs w:val="24"/>
              </w:rPr>
              <w:t>万元，国有资本经营预算拨款支出预算为</w:t>
            </w:r>
            <w:r>
              <w:rPr>
                <w:rFonts w:hint="default" w:ascii="Dialog" w:hAnsi="Times New Roman" w:eastAsia="宋体" w:cs="Times New Roman"/>
                <w:sz w:val="20"/>
                <w:szCs w:val="24"/>
              </w:rPr>
              <w:t>0</w:t>
            </w:r>
            <w:r>
              <w:rPr>
                <w:rFonts w:hint="eastAsia" w:ascii="Dialog" w:hAnsi="Times New Roman" w:eastAsia="宋体" w:cs="Times New Roman"/>
                <w:sz w:val="20"/>
                <w:szCs w:val="24"/>
              </w:rPr>
              <w:t>。</w:t>
            </w:r>
          </w:p>
          <w:p>
            <w:pPr>
              <w:spacing w:before="316" w:beforeLines="132" w:after="165" w:afterLines="69" w:line="255" w:lineRule="exact"/>
              <w:ind w:left="20"/>
              <w:rPr>
                <w:sz w:val="28"/>
                <w:szCs w:val="28"/>
              </w:rPr>
            </w:pPr>
            <w:r>
              <w:rPr>
                <w:sz w:val="28"/>
                <w:szCs w:val="28"/>
              </w:rPr>
              <w:t>。</w:t>
            </w:r>
          </w:p>
          <w:p>
            <w:pPr>
              <w:spacing w:before="316" w:beforeLines="132" w:after="165" w:afterLines="69" w:line="255" w:lineRule="exact"/>
              <w:ind w:left="20"/>
              <w:rPr>
                <w:rFonts w:hint="default"/>
                <w:sz w:val="28"/>
                <w:szCs w:val="28"/>
              </w:rPr>
            </w:pPr>
            <w:r>
              <w:rPr>
                <w:sz w:val="28"/>
                <w:szCs w:val="28"/>
              </w:rPr>
              <w:t>财政拨款支出预算中，一般公共预算拨款支出预算3251万元。</w:t>
            </w:r>
          </w:p>
          <w:p>
            <w:pPr>
              <w:spacing w:before="316" w:beforeLines="132" w:after="165" w:afterLines="69" w:line="255" w:lineRule="exact"/>
              <w:ind w:left="20" w:firstLine="560" w:firstLineChars="200"/>
              <w:rPr>
                <w:rFonts w:hint="default"/>
                <w:sz w:val="28"/>
                <w:szCs w:val="28"/>
              </w:rPr>
            </w:pPr>
            <w:r>
              <w:rPr>
                <w:sz w:val="28"/>
                <w:szCs w:val="28"/>
              </w:rPr>
              <w:t>财政拨款收入支出增加的主要原因是:人员经费、公用经费、项目等增加。</w:t>
            </w:r>
          </w:p>
          <w:p>
            <w:pPr>
              <w:spacing w:before="316" w:beforeLines="132" w:after="165" w:afterLines="69" w:line="255" w:lineRule="exact"/>
              <w:ind w:left="20"/>
              <w:rPr>
                <w:rFonts w:hint="default"/>
                <w:sz w:val="28"/>
                <w:szCs w:val="28"/>
              </w:rPr>
            </w:pPr>
          </w:p>
          <w:p>
            <w:pPr>
              <w:spacing w:before="316" w:beforeLines="132" w:after="165" w:afterLines="69" w:line="255" w:lineRule="exact"/>
              <w:ind w:left="20"/>
              <w:rPr>
                <w:rFonts w:hint="default"/>
                <w:sz w:val="28"/>
                <w:szCs w:val="28"/>
              </w:rPr>
            </w:pPr>
            <w:r>
              <w:rPr>
                <w:sz w:val="28"/>
                <w:szCs w:val="28"/>
              </w:rPr>
              <w:t>财政拨款支出主要内容如下：</w:t>
            </w:r>
          </w:p>
          <w:p>
            <w:pPr>
              <w:spacing w:before="316" w:beforeLines="132" w:after="165" w:afterLines="69" w:line="255" w:lineRule="exact"/>
              <w:ind w:left="20"/>
              <w:rPr>
                <w:rFonts w:hint="default" w:ascii="Dialog" w:hAnsi="Times New Roman" w:cs="Dialog"/>
                <w:sz w:val="20"/>
                <w:szCs w:val="20"/>
              </w:rPr>
            </w:pPr>
            <w:r>
              <w:rPr>
                <w:sz w:val="28"/>
                <w:szCs w:val="28"/>
              </w:rPr>
              <w:t>财政拨款支出主要内容如下：</w:t>
            </w:r>
          </w:p>
        </w:tc>
      </w:tr>
      <w:tr>
        <w:tblPrEx>
          <w:tblCellMar>
            <w:top w:w="0" w:type="dxa"/>
            <w:left w:w="0" w:type="dxa"/>
            <w:bottom w:w="0" w:type="dxa"/>
            <w:right w:w="0" w:type="dxa"/>
          </w:tblCellMar>
        </w:tblPrEx>
        <w:trPr>
          <w:trHeight w:val="795" w:hRule="exact"/>
        </w:trPr>
        <w:tc>
          <w:tcPr>
            <w:tcW w:w="22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firstLine="560" w:firstLineChars="200"/>
              <w:rPr>
                <w:rFonts w:hint="default" w:ascii="Dialog" w:hAnsi="Times New Roman" w:cs="Dialog"/>
                <w:sz w:val="20"/>
                <w:szCs w:val="20"/>
              </w:rPr>
            </w:pPr>
            <w:r>
              <w:rPr>
                <w:sz w:val="28"/>
                <w:szCs w:val="28"/>
              </w:rPr>
              <w:t>财政拨款支出主要内容如下：</w:t>
            </w:r>
          </w:p>
        </w:tc>
      </w:tr>
      <w:tr>
        <w:tblPrEx>
          <w:tblCellMar>
            <w:top w:w="0" w:type="dxa"/>
            <w:left w:w="0" w:type="dxa"/>
            <w:bottom w:w="0" w:type="dxa"/>
            <w:right w:w="0" w:type="dxa"/>
          </w:tblCellMar>
        </w:tblPrEx>
        <w:trPr>
          <w:trHeight w:val="5780" w:hRule="exact"/>
        </w:trPr>
        <w:tc>
          <w:tcPr>
            <w:tcW w:w="22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numPr>
                <w:ilvl w:val="0"/>
                <w:numId w:val="3"/>
              </w:numPr>
              <w:ind w:firstLine="560"/>
              <w:rPr>
                <w:rFonts w:hint="default"/>
                <w:sz w:val="28"/>
                <w:szCs w:val="28"/>
              </w:rPr>
            </w:pPr>
            <w:r>
              <w:rPr>
                <w:sz w:val="28"/>
                <w:szCs w:val="28"/>
              </w:rPr>
              <w:t>“2050202小学教育”科目21万元，主要用于在职职工工资福利支出、商品和服务支出、对个人和家庭的补助支出以及办公设备购置等。</w:t>
            </w:r>
          </w:p>
          <w:p>
            <w:pPr>
              <w:ind w:left="480"/>
              <w:rPr>
                <w:rFonts w:hint="default"/>
                <w:sz w:val="28"/>
                <w:szCs w:val="28"/>
              </w:rPr>
            </w:pPr>
          </w:p>
          <w:p>
            <w:pPr>
              <w:numPr>
                <w:ilvl w:val="0"/>
                <w:numId w:val="3"/>
              </w:numPr>
              <w:ind w:firstLine="560"/>
              <w:rPr>
                <w:rFonts w:hint="default"/>
                <w:sz w:val="28"/>
                <w:szCs w:val="28"/>
              </w:rPr>
            </w:pPr>
            <w:r>
              <w:rPr>
                <w:sz w:val="28"/>
                <w:szCs w:val="28"/>
              </w:rPr>
              <w:t>“2050203中学教育”科目2333万元，主要用于在职职工工资福利支出、商品和服务支出、对个人和家庭的补助支出以及办公设备购置等。</w:t>
            </w:r>
          </w:p>
          <w:p>
            <w:pPr>
              <w:rPr>
                <w:rFonts w:hint="default"/>
                <w:sz w:val="28"/>
                <w:szCs w:val="28"/>
              </w:rPr>
            </w:pPr>
          </w:p>
          <w:p>
            <w:pPr>
              <w:numPr>
                <w:ilvl w:val="0"/>
                <w:numId w:val="3"/>
              </w:numPr>
              <w:ind w:firstLine="560"/>
              <w:rPr>
                <w:rFonts w:hint="default"/>
                <w:sz w:val="28"/>
                <w:szCs w:val="28"/>
              </w:rPr>
            </w:pPr>
            <w:r>
              <w:rPr>
                <w:sz w:val="28"/>
                <w:szCs w:val="28"/>
              </w:rPr>
              <w:t>“2050999教育费附加”科目450万元，主要用于校舍维修，运动场地维修等项目支出等。</w:t>
            </w:r>
          </w:p>
          <w:p>
            <w:pPr>
              <w:rPr>
                <w:rFonts w:hint="default" w:cs="Times New Roman"/>
                <w:sz w:val="28"/>
                <w:szCs w:val="28"/>
              </w:rPr>
            </w:pPr>
          </w:p>
          <w:p>
            <w:pPr>
              <w:ind w:firstLine="560" w:firstLineChars="200"/>
              <w:rPr>
                <w:rFonts w:hint="default" w:cs="Times New Roman"/>
                <w:sz w:val="28"/>
                <w:szCs w:val="28"/>
              </w:rPr>
            </w:pPr>
            <w:r>
              <w:rPr>
                <w:sz w:val="28"/>
                <w:szCs w:val="28"/>
              </w:rPr>
              <w:t>4. “2080505机关事业单位基本养老保险缴费支出”科目172万元，主要用于按照国家政策规定为在职人员缴纳基本养老保险的支出。</w:t>
            </w:r>
          </w:p>
          <w:p>
            <w:pPr>
              <w:ind w:firstLine="570"/>
              <w:rPr>
                <w:rFonts w:hint="default" w:cs="Times New Roman"/>
                <w:sz w:val="28"/>
                <w:szCs w:val="28"/>
              </w:rPr>
            </w:pPr>
          </w:p>
          <w:p>
            <w:pPr>
              <w:ind w:firstLine="560" w:firstLineChars="200"/>
              <w:rPr>
                <w:rFonts w:hint="default" w:cs="Times New Roman"/>
                <w:sz w:val="28"/>
                <w:szCs w:val="28"/>
              </w:rPr>
            </w:pPr>
            <w:r>
              <w:rPr>
                <w:sz w:val="28"/>
                <w:szCs w:val="28"/>
              </w:rPr>
              <w:t>5. “2080506机关事业单位职业年金缴费支出”科目86万元，主要用于按照国家政策规定为在职人员缴纳职业年金的支出。</w:t>
            </w:r>
          </w:p>
          <w:p>
            <w:pPr>
              <w:ind w:firstLine="435"/>
              <w:rPr>
                <w:rFonts w:hint="default" w:cs="Times New Roman"/>
                <w:sz w:val="28"/>
                <w:szCs w:val="28"/>
              </w:rPr>
            </w:pPr>
          </w:p>
          <w:p>
            <w:pPr>
              <w:ind w:firstLine="560" w:firstLineChars="200"/>
              <w:rPr>
                <w:rFonts w:hint="default" w:cs="Times New Roman"/>
                <w:sz w:val="28"/>
                <w:szCs w:val="28"/>
              </w:rPr>
            </w:pPr>
            <w:r>
              <w:rPr>
                <w:sz w:val="28"/>
                <w:szCs w:val="28"/>
              </w:rPr>
              <w:t>6. “2101102事业单位医疗”科目113万元，主要用于按照国家政策规定为在职人员缴纳基本医疗保险费的支出。</w:t>
            </w:r>
          </w:p>
          <w:p>
            <w:pPr>
              <w:ind w:firstLine="435"/>
              <w:rPr>
                <w:rFonts w:hint="default" w:cs="Times New Roman"/>
                <w:sz w:val="28"/>
                <w:szCs w:val="28"/>
              </w:rPr>
            </w:pPr>
          </w:p>
          <w:p>
            <w:pPr>
              <w:ind w:firstLine="560" w:firstLineChars="200"/>
              <w:rPr>
                <w:rFonts w:hint="default" w:cs="Times New Roman"/>
                <w:sz w:val="28"/>
                <w:szCs w:val="28"/>
              </w:rPr>
            </w:pPr>
            <w:r>
              <w:rPr>
                <w:sz w:val="28"/>
                <w:szCs w:val="28"/>
              </w:rPr>
              <w:t>7. “2210201住房公积金”科目76万元，主要用于按照国家政策规定为在职人员缴纳住房公积金的支出。</w:t>
            </w:r>
          </w:p>
          <w:p>
            <w:pPr>
              <w:spacing w:line="255" w:lineRule="exact"/>
              <w:ind w:left="20"/>
              <w:rPr>
                <w:rFonts w:hint="default" w:ascii="Dialog" w:hAnsi="Times New Roman" w:cs="Dialog"/>
                <w:sz w:val="20"/>
                <w:szCs w:val="20"/>
              </w:rPr>
            </w:pPr>
          </w:p>
        </w:tc>
      </w:tr>
      <w:tr>
        <w:tblPrEx>
          <w:tblCellMar>
            <w:top w:w="0" w:type="dxa"/>
            <w:left w:w="0" w:type="dxa"/>
            <w:bottom w:w="0" w:type="dxa"/>
            <w:right w:w="0" w:type="dxa"/>
          </w:tblCellMar>
        </w:tblPrEx>
        <w:trPr>
          <w:trHeight w:val="1550" w:hRule="exact"/>
        </w:trPr>
        <w:tc>
          <w:tcPr>
            <w:tcW w:w="222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240" w:beforeLines="100" w:after="662" w:afterLines="276" w:line="255" w:lineRule="exact"/>
              <w:rPr>
                <w:rFonts w:hint="default" w:ascii="Dialog" w:hAnsi="Times New Roman" w:cs="Dialog"/>
                <w:sz w:val="20"/>
                <w:szCs w:val="20"/>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21034" w:type="dxa"/>
        <w:tblInd w:w="0" w:type="dxa"/>
        <w:tblLayout w:type="fixed"/>
        <w:tblCellMar>
          <w:top w:w="0" w:type="dxa"/>
          <w:left w:w="0" w:type="dxa"/>
          <w:bottom w:w="0" w:type="dxa"/>
          <w:right w:w="0" w:type="dxa"/>
        </w:tblCellMar>
      </w:tblPr>
      <w:tblGrid>
        <w:gridCol w:w="4763"/>
        <w:gridCol w:w="3345"/>
        <w:gridCol w:w="4762"/>
        <w:gridCol w:w="2041"/>
        <w:gridCol w:w="2041"/>
        <w:gridCol w:w="2041"/>
        <w:gridCol w:w="2041"/>
      </w:tblGrid>
      <w:tr>
        <w:tblPrEx>
          <w:tblCellMar>
            <w:top w:w="0" w:type="dxa"/>
            <w:left w:w="0" w:type="dxa"/>
            <w:bottom w:w="0" w:type="dxa"/>
            <w:right w:w="0" w:type="dxa"/>
          </w:tblCellMar>
        </w:tblPrEx>
        <w:trPr>
          <w:trHeight w:val="793" w:hRule="exact"/>
        </w:trPr>
        <w:tc>
          <w:tcPr>
            <w:tcW w:w="21034"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2022年单位财务收支预算总表</w:t>
            </w:r>
          </w:p>
        </w:tc>
      </w:tr>
      <w:tr>
        <w:tblPrEx>
          <w:tblCellMar>
            <w:top w:w="0" w:type="dxa"/>
            <w:left w:w="0" w:type="dxa"/>
            <w:bottom w:w="0" w:type="dxa"/>
            <w:right w:w="0" w:type="dxa"/>
          </w:tblCellMar>
        </w:tblPrEx>
        <w:trPr>
          <w:trHeight w:val="453" w:hRule="exact"/>
        </w:trPr>
        <w:tc>
          <w:tcPr>
            <w:tcW w:w="810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编制单位：026182上海工程技术大学附属松江泗泾实验学校</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81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本年收入</w:t>
            </w:r>
          </w:p>
        </w:tc>
        <w:tc>
          <w:tcPr>
            <w:tcW w:w="12926"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本年支出</w:t>
            </w:r>
          </w:p>
        </w:tc>
      </w:tr>
      <w:tr>
        <w:tblPrEx>
          <w:tblCellMar>
            <w:top w:w="0" w:type="dxa"/>
            <w:left w:w="0" w:type="dxa"/>
            <w:bottom w:w="0" w:type="dxa"/>
            <w:right w:w="0" w:type="dxa"/>
          </w:tblCellMar>
        </w:tblPrEx>
        <w:trPr>
          <w:trHeight w:val="453" w:hRule="exact"/>
        </w:trPr>
        <w:tc>
          <w:tcPr>
            <w:tcW w:w="476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    目</w:t>
            </w:r>
          </w:p>
        </w:tc>
        <w:tc>
          <w:tcPr>
            <w:tcW w:w="334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预 算 数</w:t>
            </w:r>
          </w:p>
        </w:tc>
        <w:tc>
          <w:tcPr>
            <w:tcW w:w="476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    目</w:t>
            </w:r>
          </w:p>
        </w:tc>
        <w:tc>
          <w:tcPr>
            <w:tcW w:w="816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预算数</w:t>
            </w:r>
          </w:p>
        </w:tc>
      </w:tr>
      <w:tr>
        <w:tblPrEx>
          <w:tblCellMar>
            <w:top w:w="0" w:type="dxa"/>
            <w:left w:w="0" w:type="dxa"/>
            <w:bottom w:w="0" w:type="dxa"/>
            <w:right w:w="0" w:type="dxa"/>
          </w:tblCellMar>
        </w:tblPrEx>
        <w:trPr>
          <w:trHeight w:val="453" w:hRule="exact"/>
        </w:trPr>
        <w:tc>
          <w:tcPr>
            <w:tcW w:w="476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408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476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人员经费</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公用经费</w:t>
            </w: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一、财政拨款收入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32,506,546.79</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一、教育支出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28,037,146.19</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14,503,515.39</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6,276,020.80</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7,257,610.00</w:t>
            </w: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1. 一般公共预算资金</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32,506,546.79</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二、社会保障和就业支出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2. 政府性基金</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三、卫生健康支出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Dialog" w:hAnsi="Times New Roman" w:cs="Dialog"/>
                <w:sz w:val="18"/>
                <w:szCs w:val="18"/>
              </w:rPr>
            </w:pPr>
            <w:r>
              <w:rPr>
                <w:rFonts w:hint="eastAsia"/>
                <w:sz w:val="21"/>
                <w:szCs w:val="21"/>
              </w:rPr>
              <w:t>3</w:t>
            </w:r>
            <w:r>
              <w:rPr>
                <w:sz w:val="21"/>
                <w:szCs w:val="21"/>
              </w:rPr>
              <w:t>.</w:t>
            </w:r>
            <w:r>
              <w:rPr>
                <w:rFonts w:hint="eastAsia"/>
                <w:sz w:val="21"/>
                <w:szCs w:val="21"/>
              </w:rPr>
              <w:t>国有资本经营收入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leftChars="0"/>
              <w:rPr>
                <w:rFonts w:hint="default" w:ascii="Dialog" w:hAnsi="Times New Roman" w:eastAsia="宋体" w:cs="Dialog"/>
                <w:color w:val="000000"/>
                <w:sz w:val="18"/>
                <w:szCs w:val="18"/>
                <w:lang w:val="en-US" w:eastAsia="zh-CN" w:bidi="ar-SA"/>
              </w:rPr>
            </w:pPr>
            <w:r>
              <w:rPr>
                <w:rFonts w:ascii="Dialog" w:hAnsi="Times New Roman" w:cs="Dialog"/>
                <w:sz w:val="18"/>
                <w:szCs w:val="18"/>
              </w:rPr>
              <w:t>四、住房保障支出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rightChars="0"/>
              <w:jc w:val="right"/>
              <w:rPr>
                <w:rFonts w:hint="default" w:ascii="Dialog" w:hAnsi="Times New Roman" w:eastAsia="宋体" w:cs="Dialog"/>
                <w:color w:val="000000"/>
                <w:sz w:val="18"/>
                <w:szCs w:val="18"/>
                <w:lang w:val="en-US" w:eastAsia="zh-CN" w:bidi="ar-SA"/>
              </w:rPr>
            </w:pPr>
            <w:r>
              <w:rPr>
                <w:rFonts w:ascii="Dialog" w:hAnsi="Times New Roman" w:cs="Dialog"/>
                <w:sz w:val="18"/>
                <w:szCs w:val="18"/>
              </w:rPr>
              <w:t>753,874.80</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rightChars="0"/>
              <w:jc w:val="right"/>
              <w:rPr>
                <w:rFonts w:hint="default" w:ascii="Dialog" w:hAnsi="Times New Roman" w:eastAsia="宋体" w:cs="Dialog"/>
                <w:color w:val="000000"/>
                <w:sz w:val="18"/>
                <w:szCs w:val="18"/>
                <w:lang w:val="en-US" w:eastAsia="zh-CN" w:bidi="ar-SA"/>
              </w:rPr>
            </w:pPr>
            <w:r>
              <w:rPr>
                <w:rFonts w:ascii="Dialog" w:hAnsi="Times New Roman" w:cs="Dialog"/>
                <w:sz w:val="18"/>
                <w:szCs w:val="18"/>
              </w:rPr>
              <w:t>753,874.80</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hAnsi="Arial" w:eastAsia="宋体" w:cs="Times New Roman"/>
                <w:color w:val="auto"/>
                <w:sz w:val="24"/>
                <w:szCs w:val="24"/>
                <w:lang w:val="en-US" w:eastAsia="zh-CN" w:bidi="ar-SA"/>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二、事业收入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三、事业单位经营收入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四、其他收入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 xml:space="preserve">            收    入    总    计</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32,506,546.79</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 xml:space="preserve">            支    出    总    计</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32,506,546.79</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18,972,915.99</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6,276,020.80</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7,257,610.00</w:t>
            </w:r>
          </w:p>
        </w:tc>
      </w:tr>
    </w:tbl>
    <w:p>
      <w:pPr>
        <w:rPr>
          <w:rFonts w:hint="default" w:ascii="Times New Roman" w:cs="Times New Roman"/>
          <w:color w:val="auto"/>
          <w:sz w:val="2"/>
          <w:szCs w:val="2"/>
        </w:rPr>
      </w:pPr>
      <w:r>
        <w:rPr>
          <w:rFonts w:hint="default" w:ascii="Arial"/>
          <w:sz w:val="24"/>
          <w:szCs w:val="24"/>
        </w:rPr>
        <w:t>2022</w:t>
      </w:r>
      <w:r>
        <w:rPr>
          <w:rFonts w:hint="default"/>
          <w:sz w:val="24"/>
          <w:szCs w:val="24"/>
        </w:rPr>
        <w:t>年本单位收入预算</w:t>
      </w:r>
      <w:r>
        <w:rPr>
          <w:rFonts w:hint="default" w:ascii="Dialog" w:hAnsi="Times New Roman" w:eastAsia="宋体" w:cs="Times New Roman"/>
          <w:sz w:val="20"/>
          <w:szCs w:val="24"/>
        </w:rPr>
        <w:t>3251</w:t>
      </w:r>
      <w:r>
        <w:rPr>
          <w:rFonts w:hint="default" w:ascii="Arial" w:hAnsi="Arial" w:eastAsia="宋体" w:cs="Times New Roman"/>
          <w:sz w:val="24"/>
          <w:szCs w:val="24"/>
        </w:rPr>
        <w:t>万元，比上年增加</w:t>
      </w:r>
      <w:r>
        <w:rPr>
          <w:rFonts w:hint="default" w:ascii="Dialog" w:hAnsi="Times New Roman" w:eastAsia="宋体" w:cs="Times New Roman"/>
          <w:sz w:val="20"/>
          <w:szCs w:val="24"/>
        </w:rPr>
        <w:t>3251</w:t>
      </w:r>
      <w:r>
        <w:rPr>
          <w:rFonts w:hint="default" w:ascii="Arial" w:hAnsi="Arial" w:eastAsia="宋体" w:cs="Times New Roman"/>
          <w:sz w:val="24"/>
          <w:szCs w:val="24"/>
        </w:rPr>
        <w:t>万元，增加100%，主要原因是本校为2021年新开学校，无年初预算； 支出预算</w:t>
      </w:r>
      <w:r>
        <w:rPr>
          <w:rFonts w:hint="default" w:ascii="Dialog" w:hAnsi="Times New Roman" w:eastAsia="宋体" w:cs="Times New Roman"/>
          <w:sz w:val="20"/>
          <w:szCs w:val="24"/>
        </w:rPr>
        <w:t>3251</w:t>
      </w:r>
      <w:r>
        <w:rPr>
          <w:rFonts w:hint="default" w:ascii="Arial" w:hAnsi="Arial" w:eastAsia="宋体" w:cs="Times New Roman"/>
          <w:sz w:val="24"/>
          <w:szCs w:val="24"/>
        </w:rPr>
        <w:t>万元，比上年增加</w:t>
      </w:r>
      <w:r>
        <w:rPr>
          <w:rFonts w:hint="default" w:ascii="Dialog" w:hAnsi="Times New Roman" w:eastAsia="宋体" w:cs="Times New Roman"/>
          <w:sz w:val="20"/>
          <w:szCs w:val="24"/>
        </w:rPr>
        <w:t>3251</w:t>
      </w:r>
      <w:r>
        <w:rPr>
          <w:rFonts w:hint="default" w:ascii="Arial" w:hAnsi="Arial" w:eastAsia="宋体" w:cs="Times New Roman"/>
          <w:sz w:val="24"/>
          <w:szCs w:val="24"/>
        </w:rPr>
        <w:t>万元，增加100%，主要原因是本校为2021年新开学校，无年初预算。</w:t>
      </w:r>
      <w:r>
        <w:rPr>
          <w:rFonts w:hint="default" w:ascii="Times New Roman" w:cs="Times New Roman"/>
          <w:color w:val="auto"/>
          <w:sz w:val="2"/>
          <w:szCs w:val="2"/>
        </w:rPr>
        <w:br w:type="page"/>
      </w:r>
      <w:bookmarkStart w:id="4" w:name="_GoBack"/>
      <w:bookmarkEnd w:id="4"/>
    </w:p>
    <w:tbl>
      <w:tblPr>
        <w:tblStyle w:val="7"/>
        <w:tblW w:w="14684" w:type="dxa"/>
        <w:tblInd w:w="0" w:type="dxa"/>
        <w:tblLayout w:type="fixed"/>
        <w:tblCellMar>
          <w:top w:w="0" w:type="dxa"/>
          <w:left w:w="0" w:type="dxa"/>
          <w:bottom w:w="0" w:type="dxa"/>
          <w:right w:w="0" w:type="dxa"/>
        </w:tblCellMar>
      </w:tblPr>
      <w:tblGrid>
        <w:gridCol w:w="851"/>
        <w:gridCol w:w="851"/>
        <w:gridCol w:w="851"/>
        <w:gridCol w:w="3346"/>
        <w:gridCol w:w="1757"/>
        <w:gridCol w:w="1757"/>
        <w:gridCol w:w="1757"/>
        <w:gridCol w:w="1757"/>
        <w:gridCol w:w="1757"/>
      </w:tblGrid>
      <w:tr>
        <w:tblPrEx>
          <w:tblCellMar>
            <w:top w:w="0" w:type="dxa"/>
            <w:left w:w="0" w:type="dxa"/>
            <w:bottom w:w="0" w:type="dxa"/>
            <w:right w:w="0" w:type="dxa"/>
          </w:tblCellMar>
        </w:tblPrEx>
        <w:trPr>
          <w:trHeight w:val="793" w:hRule="exact"/>
        </w:trPr>
        <w:tc>
          <w:tcPr>
            <w:tcW w:w="14680"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2022年单位收入预算总表</w:t>
            </w:r>
          </w:p>
        </w:tc>
      </w:tr>
      <w:tr>
        <w:tblPrEx>
          <w:tblCellMar>
            <w:top w:w="0" w:type="dxa"/>
            <w:left w:w="0" w:type="dxa"/>
            <w:bottom w:w="0" w:type="dxa"/>
            <w:right w:w="0" w:type="dxa"/>
          </w:tblCellMar>
        </w:tblPrEx>
        <w:trPr>
          <w:trHeight w:val="453" w:hRule="exact"/>
        </w:trPr>
        <w:tc>
          <w:tcPr>
            <w:tcW w:w="5895"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编制单位：026182上海工程技术大学附属松江泗泾实验学校</w:t>
            </w: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589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878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收入预算</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334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财政拨款收入</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事业收入</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事业单位经营收入</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其他收入</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453" w:hRule="exact"/>
        </w:trPr>
        <w:tc>
          <w:tcPr>
            <w:tcW w:w="589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32,506,546.79</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32,506,546.79</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28,037,146.19</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28,037,146.19</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普通教育</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23,537,146.19</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23,537,146.19</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小学教育</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205,067.00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205,067.00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03</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初中教育</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23,332,079.19</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23,332,079.19</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教育费附加安排的支出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4,500,000.00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4,500,000.00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其他教育费附加安排的支出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4,500,000.00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4,500,000.00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208</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社会保障和就业支出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行政事业单位养老支出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机关事业单位基本养老保险缴费支出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1,723,142.40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1,723,142.40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06</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机关事业单位职业年金缴费支出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861,571.20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861,571.20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卫生健康支出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行政事业单位医疗</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事业单位医疗</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221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住房保障支出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住房改革支出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住房公积金</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4230" w:type="dxa"/>
        <w:tblInd w:w="0" w:type="dxa"/>
        <w:tblLayout w:type="fixed"/>
        <w:tblCellMar>
          <w:top w:w="0" w:type="dxa"/>
          <w:left w:w="0" w:type="dxa"/>
          <w:bottom w:w="0" w:type="dxa"/>
          <w:right w:w="0" w:type="dxa"/>
        </w:tblCellMar>
      </w:tblPr>
      <w:tblGrid>
        <w:gridCol w:w="851"/>
        <w:gridCol w:w="851"/>
        <w:gridCol w:w="850"/>
        <w:gridCol w:w="5216"/>
        <w:gridCol w:w="2154"/>
        <w:gridCol w:w="2154"/>
        <w:gridCol w:w="2154"/>
      </w:tblGrid>
      <w:tr>
        <w:tblPrEx>
          <w:tblCellMar>
            <w:top w:w="0" w:type="dxa"/>
            <w:left w:w="0" w:type="dxa"/>
            <w:bottom w:w="0" w:type="dxa"/>
            <w:right w:w="0" w:type="dxa"/>
          </w:tblCellMar>
        </w:tblPrEx>
        <w:trPr>
          <w:trHeight w:val="793" w:hRule="exact"/>
        </w:trPr>
        <w:tc>
          <w:tcPr>
            <w:tcW w:w="14227"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2022年单位支出预算总表</w:t>
            </w:r>
          </w:p>
        </w:tc>
      </w:tr>
      <w:tr>
        <w:tblPrEx>
          <w:tblCellMar>
            <w:top w:w="0" w:type="dxa"/>
            <w:left w:w="0" w:type="dxa"/>
            <w:bottom w:w="0" w:type="dxa"/>
            <w:right w:w="0" w:type="dxa"/>
          </w:tblCellMar>
        </w:tblPrEx>
        <w:trPr>
          <w:trHeight w:val="453" w:hRule="exact"/>
        </w:trPr>
        <w:tc>
          <w:tcPr>
            <w:tcW w:w="7765"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编制单位：026182上海工程技术大学附属松江泗泾实验学校</w:t>
            </w: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430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776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646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支出预算</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52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52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776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32,506,546.79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25,248,936.79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7,257,610.00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28,037,146.19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20,779,536.19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7,257,610.00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普通教育</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23,537,146.19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20,779,536.19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2,757,610.00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小学教育</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205,067.00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205,067.00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03</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初中教育</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23,332,079.19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20,574,469.19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2,757,610.00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教育费附加安排的支出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4,500,000.00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4,500,000.00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其他教育费附加安排的支出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4,500,000.00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4,500,000.00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208</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社会保障和就业支出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行政事业单位养老支出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机关事业单位基本养老保险缴费支出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1,723,142.40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1,723,142.40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06</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机关事业单位职业年金缴费支出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861,571.20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861,571.20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卫生健康支出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行政事业单位医疗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事业单位医疗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221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住房保障支出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住房改革支出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住房公积金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8824" w:type="dxa"/>
        <w:tblInd w:w="0" w:type="dxa"/>
        <w:tblLayout w:type="fixed"/>
        <w:tblCellMar>
          <w:top w:w="0" w:type="dxa"/>
          <w:left w:w="0" w:type="dxa"/>
          <w:bottom w:w="0" w:type="dxa"/>
          <w:right w:w="0" w:type="dxa"/>
        </w:tblCellMar>
      </w:tblPr>
      <w:tblGrid>
        <w:gridCol w:w="3937"/>
        <w:gridCol w:w="2155"/>
        <w:gridCol w:w="4116"/>
        <w:gridCol w:w="2154"/>
        <w:gridCol w:w="2154"/>
        <w:gridCol w:w="2154"/>
        <w:gridCol w:w="2154"/>
      </w:tblGrid>
      <w:tr>
        <w:tblPrEx>
          <w:tblCellMar>
            <w:top w:w="0" w:type="dxa"/>
            <w:left w:w="0" w:type="dxa"/>
            <w:bottom w:w="0" w:type="dxa"/>
            <w:right w:w="0" w:type="dxa"/>
          </w:tblCellMar>
        </w:tblPrEx>
        <w:trPr>
          <w:trHeight w:val="793" w:hRule="exact"/>
        </w:trPr>
        <w:tc>
          <w:tcPr>
            <w:tcW w:w="16668"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2022年单位财政拨款收支预算总表</w:t>
            </w:r>
          </w:p>
        </w:tc>
        <w:tc>
          <w:tcPr>
            <w:tcW w:w="215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609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编制单位：026182上海工程技术大学附属松江泗泾实验学校</w:t>
            </w:r>
          </w:p>
        </w:tc>
        <w:tc>
          <w:tcPr>
            <w:tcW w:w="411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c>
          <w:tcPr>
            <w:tcW w:w="215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60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财政拨款收入</w:t>
            </w:r>
          </w:p>
        </w:tc>
        <w:tc>
          <w:tcPr>
            <w:tcW w:w="12732"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财政拨款支出</w:t>
            </w:r>
          </w:p>
        </w:tc>
      </w:tr>
      <w:tr>
        <w:tblPrEx>
          <w:tblCellMar>
            <w:top w:w="0" w:type="dxa"/>
            <w:left w:w="0" w:type="dxa"/>
            <w:bottom w:w="0" w:type="dxa"/>
            <w:right w:w="0" w:type="dxa"/>
          </w:tblCellMar>
        </w:tblPrEx>
        <w:trPr>
          <w:trHeight w:val="453"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    目</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预 算 数</w:t>
            </w: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    目</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一般公共预算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政府性基金预算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国有资本经营预算</w:t>
            </w: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一、一般公共预算资金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32,506,546.79</w:t>
            </w: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一、教育支出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28,037,146.19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28,037,146.19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二、政府性基金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二、社会保障和就业支出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三、国有资本经营预算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三、卫生健康支出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四、住房保障支出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 xml:space="preserve">            收    入    总    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32,506,546.79</w:t>
            </w: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 xml:space="preserve">            支    出    总    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32,506,546.79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32,506,546.79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3153" w:type="dxa"/>
        <w:tblInd w:w="0" w:type="dxa"/>
        <w:tblLayout w:type="fixed"/>
        <w:tblCellMar>
          <w:top w:w="0" w:type="dxa"/>
          <w:left w:w="0" w:type="dxa"/>
          <w:bottom w:w="0" w:type="dxa"/>
          <w:right w:w="0" w:type="dxa"/>
        </w:tblCellMar>
      </w:tblPr>
      <w:tblGrid>
        <w:gridCol w:w="850"/>
        <w:gridCol w:w="850"/>
        <w:gridCol w:w="850"/>
        <w:gridCol w:w="4480"/>
        <w:gridCol w:w="2041"/>
        <w:gridCol w:w="2041"/>
        <w:gridCol w:w="2041"/>
      </w:tblGrid>
      <w:tr>
        <w:tblPrEx>
          <w:tblCellMar>
            <w:top w:w="0" w:type="dxa"/>
            <w:left w:w="0" w:type="dxa"/>
            <w:bottom w:w="0" w:type="dxa"/>
            <w:right w:w="0" w:type="dxa"/>
          </w:tblCellMar>
        </w:tblPrEx>
        <w:trPr>
          <w:trHeight w:val="793" w:hRule="exact"/>
        </w:trPr>
        <w:tc>
          <w:tcPr>
            <w:tcW w:w="13148"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2022年单位一般公共预算支出功能分类预算表</w:t>
            </w:r>
          </w:p>
        </w:tc>
      </w:tr>
      <w:tr>
        <w:tblPrEx>
          <w:tblCellMar>
            <w:top w:w="0" w:type="dxa"/>
            <w:left w:w="0" w:type="dxa"/>
            <w:bottom w:w="0" w:type="dxa"/>
            <w:right w:w="0" w:type="dxa"/>
          </w:tblCellMar>
        </w:tblPrEx>
        <w:trPr>
          <w:trHeight w:val="453" w:hRule="exact"/>
        </w:trPr>
        <w:tc>
          <w:tcPr>
            <w:tcW w:w="7028"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编制单位：026182上海工程技术大学附属松江泗泾实验学校</w:t>
            </w: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7028"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612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一般公共预算支出</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447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447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7028"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32,506,546.79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25,248,936.79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7,257,610.00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28,037,146.19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20,779,536.19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7,257,610.00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普通教育</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23,537,146.19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20,779,536.19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2,757,610.00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小学教育</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205,067.00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205,067.00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03</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初中教育</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23,332,079.19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20,574,469.19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2,757,610.00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教育费附加安排的支出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4,500,000.00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4,500,000.00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其他教育费附加安排的支出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4,500,000.00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4,500,000.00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208</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社会保障和就业支出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行政事业单位养老支出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2,584,713.60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机关事业单位基本养老保险缴费支出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1,723,142.40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1,723,142.40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机关事业单位职业年金缴费支出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861,571.20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861,571.20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卫生健康支出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行政事业单位医疗</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事业单位医疗</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221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住房保障支出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住房改革支出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住房公积金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3153" w:type="dxa"/>
        <w:tblInd w:w="0" w:type="dxa"/>
        <w:tblLayout w:type="fixed"/>
        <w:tblCellMar>
          <w:top w:w="0" w:type="dxa"/>
          <w:left w:w="0" w:type="dxa"/>
          <w:bottom w:w="0" w:type="dxa"/>
          <w:right w:w="0" w:type="dxa"/>
        </w:tblCellMar>
      </w:tblPr>
      <w:tblGrid>
        <w:gridCol w:w="850"/>
        <w:gridCol w:w="850"/>
        <w:gridCol w:w="850"/>
        <w:gridCol w:w="4480"/>
        <w:gridCol w:w="2041"/>
        <w:gridCol w:w="2041"/>
        <w:gridCol w:w="2041"/>
      </w:tblGrid>
      <w:tr>
        <w:tblPrEx>
          <w:tblCellMar>
            <w:top w:w="0" w:type="dxa"/>
            <w:left w:w="0" w:type="dxa"/>
            <w:bottom w:w="0" w:type="dxa"/>
            <w:right w:w="0" w:type="dxa"/>
          </w:tblCellMar>
        </w:tblPrEx>
        <w:trPr>
          <w:trHeight w:val="793" w:hRule="exact"/>
        </w:trPr>
        <w:tc>
          <w:tcPr>
            <w:tcW w:w="13153"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sz w:val="36"/>
                <w:szCs w:val="36"/>
              </w:rPr>
              <w:t>2022年部门政府性基金预算支出功能分类预算表</w:t>
            </w:r>
          </w:p>
        </w:tc>
      </w:tr>
      <w:tr>
        <w:tblPrEx>
          <w:tblCellMar>
            <w:top w:w="0" w:type="dxa"/>
            <w:left w:w="0" w:type="dxa"/>
            <w:bottom w:w="0" w:type="dxa"/>
            <w:right w:w="0" w:type="dxa"/>
          </w:tblCellMar>
        </w:tblPrEx>
        <w:trPr>
          <w:trHeight w:val="453" w:hRule="exact"/>
        </w:trPr>
        <w:tc>
          <w:tcPr>
            <w:tcW w:w="7030"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编制单位：026182上海工程技术大学附属松江泗泾实验学校</w:t>
            </w: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70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6123"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政府性基金预算支出</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448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448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70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ascii="Times New Roman" w:cs="Times New Roman"/>
          <w:color w:val="auto"/>
        </w:rPr>
      </w:pPr>
      <w:bookmarkStart w:id="0" w:name="_Hlk146448596"/>
      <w:r>
        <w:rPr>
          <w:rFonts w:ascii="Times New Roman" w:cs="Times New Roman"/>
          <w:color w:val="auto"/>
        </w:rPr>
        <w:t>注：</w:t>
      </w:r>
      <w:bookmarkStart w:id="1" w:name="_Hlk146468948"/>
      <w:r>
        <w:rPr>
          <w:rFonts w:ascii="Times New Roman" w:cs="Times New Roman"/>
          <w:color w:val="auto"/>
        </w:rPr>
        <w:t>上海工程技术大学附属松江泗泾实验学校2022年度无政府性基金财政拨款安排的预算，故本表无数据。</w:t>
      </w:r>
      <w:bookmarkEnd w:id="1"/>
    </w:p>
    <w:bookmarkEnd w:id="0"/>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9070" w:type="dxa"/>
        <w:tblInd w:w="0" w:type="dxa"/>
        <w:tblLayout w:type="fixed"/>
        <w:tblCellMar>
          <w:top w:w="0" w:type="dxa"/>
          <w:left w:w="0" w:type="dxa"/>
          <w:bottom w:w="0" w:type="dxa"/>
          <w:right w:w="0" w:type="dxa"/>
        </w:tblCellMar>
      </w:tblPr>
      <w:tblGrid>
        <w:gridCol w:w="851"/>
        <w:gridCol w:w="850"/>
        <w:gridCol w:w="850"/>
        <w:gridCol w:w="4479"/>
        <w:gridCol w:w="2040"/>
      </w:tblGrid>
      <w:tr>
        <w:tblPrEx>
          <w:tblCellMar>
            <w:top w:w="0" w:type="dxa"/>
            <w:left w:w="0" w:type="dxa"/>
            <w:bottom w:w="0" w:type="dxa"/>
            <w:right w:w="0" w:type="dxa"/>
          </w:tblCellMar>
        </w:tblPrEx>
        <w:trPr>
          <w:trHeight w:val="793" w:hRule="exact"/>
        </w:trPr>
        <w:tc>
          <w:tcPr>
            <w:tcW w:w="9070"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2022年部门国有资本经营支出预算表</w:t>
            </w:r>
          </w:p>
        </w:tc>
      </w:tr>
      <w:tr>
        <w:tblPrEx>
          <w:tblCellMar>
            <w:top w:w="0" w:type="dxa"/>
            <w:left w:w="0" w:type="dxa"/>
            <w:bottom w:w="0" w:type="dxa"/>
            <w:right w:w="0" w:type="dxa"/>
          </w:tblCellMar>
        </w:tblPrEx>
        <w:trPr>
          <w:trHeight w:val="453" w:hRule="exact"/>
        </w:trPr>
        <w:tc>
          <w:tcPr>
            <w:tcW w:w="7030"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70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国有资本经营预算支出</w:t>
            </w:r>
          </w:p>
        </w:tc>
      </w:tr>
      <w:tr>
        <w:tblPrEx>
          <w:tblCellMar>
            <w:top w:w="0" w:type="dxa"/>
            <w:left w:w="0" w:type="dxa"/>
            <w:bottom w:w="0" w:type="dxa"/>
            <w:right w:w="0" w:type="dxa"/>
          </w:tblCellMar>
        </w:tblPrEx>
        <w:trPr>
          <w:trHeight w:val="453" w:hRule="exact"/>
        </w:trPr>
        <w:tc>
          <w:tcPr>
            <w:tcW w:w="255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447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r>
      <w:tr>
        <w:tblPrEx>
          <w:tblCellMar>
            <w:top w:w="0" w:type="dxa"/>
            <w:left w:w="0" w:type="dxa"/>
            <w:bottom w:w="0" w:type="dxa"/>
            <w:right w:w="0" w:type="dxa"/>
          </w:tblCellMar>
        </w:tblPrEx>
        <w:trPr>
          <w:trHeight w:val="453" w:hRule="exact"/>
        </w:trPr>
        <w:tc>
          <w:tcPr>
            <w:tcW w:w="851"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447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70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ascii="Times New Roman" w:cs="Times New Roman"/>
          <w:color w:val="auto"/>
        </w:rPr>
      </w:pPr>
      <w:r>
        <w:rPr>
          <w:rFonts w:ascii="Times New Roman" w:cs="Times New Roman"/>
          <w:color w:val="auto"/>
        </w:rPr>
        <w:t>注：上海工程技术大学附属松江泗泾实验学校</w:t>
      </w:r>
      <w:bookmarkStart w:id="2" w:name="_Hlk146448706"/>
      <w:bookmarkStart w:id="3" w:name="_Hlk146456253"/>
      <w:r>
        <w:rPr>
          <w:rFonts w:ascii="Times New Roman" w:cs="Times New Roman"/>
          <w:color w:val="auto"/>
        </w:rPr>
        <w:t>2022年度无国有资本经营预算财政拨款安排的预算，故本表无数据。</w:t>
      </w:r>
      <w:bookmarkEnd w:id="2"/>
    </w:p>
    <w:bookmarkEnd w:id="3"/>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9923" w:type="dxa"/>
        <w:tblInd w:w="0" w:type="dxa"/>
        <w:tblLayout w:type="fixed"/>
        <w:tblCellMar>
          <w:top w:w="0" w:type="dxa"/>
          <w:left w:w="0" w:type="dxa"/>
          <w:bottom w:w="0" w:type="dxa"/>
          <w:right w:w="0" w:type="dxa"/>
        </w:tblCellMar>
      </w:tblPr>
      <w:tblGrid>
        <w:gridCol w:w="2040"/>
        <w:gridCol w:w="7883"/>
      </w:tblGrid>
      <w:tr>
        <w:tblPrEx>
          <w:tblCellMar>
            <w:top w:w="0" w:type="dxa"/>
            <w:left w:w="0" w:type="dxa"/>
            <w:bottom w:w="0" w:type="dxa"/>
            <w:right w:w="0" w:type="dxa"/>
          </w:tblCellMar>
        </w:tblPrEx>
        <w:trPr>
          <w:trHeight w:val="793" w:hRule="exact"/>
        </w:trPr>
        <w:tc>
          <w:tcPr>
            <w:tcW w:w="992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2022年部门国有资本经营支出预算表</w:t>
            </w:r>
          </w:p>
        </w:tc>
      </w:tr>
      <w:tr>
        <w:tblPrEx>
          <w:tblCellMar>
            <w:top w:w="0" w:type="dxa"/>
            <w:left w:w="0" w:type="dxa"/>
            <w:bottom w:w="0" w:type="dxa"/>
            <w:right w:w="0" w:type="dxa"/>
          </w:tblCellMar>
        </w:tblPrEx>
        <w:trPr>
          <w:trHeight w:val="453" w:hRule="exact"/>
        </w:trPr>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788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992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国有资本经营预算支出</w:t>
            </w:r>
          </w:p>
        </w:tc>
      </w:tr>
      <w:tr>
        <w:tblPrEx>
          <w:tblCellMar>
            <w:top w:w="0" w:type="dxa"/>
            <w:left w:w="0" w:type="dxa"/>
            <w:bottom w:w="0" w:type="dxa"/>
            <w:right w:w="0" w:type="dxa"/>
          </w:tblCellMar>
        </w:tblPrEx>
        <w:trPr>
          <w:trHeight w:val="453" w:hRule="exact"/>
        </w:trPr>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788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788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788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788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788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788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2302" w:type="dxa"/>
        <w:tblInd w:w="0" w:type="dxa"/>
        <w:tblLayout w:type="fixed"/>
        <w:tblCellMar>
          <w:top w:w="0" w:type="dxa"/>
          <w:left w:w="0" w:type="dxa"/>
          <w:bottom w:w="0" w:type="dxa"/>
          <w:right w:w="0" w:type="dxa"/>
        </w:tblCellMar>
      </w:tblPr>
      <w:tblGrid>
        <w:gridCol w:w="850"/>
        <w:gridCol w:w="850"/>
        <w:gridCol w:w="4479"/>
        <w:gridCol w:w="2041"/>
        <w:gridCol w:w="2041"/>
        <w:gridCol w:w="2041"/>
      </w:tblGrid>
      <w:tr>
        <w:tblPrEx>
          <w:tblCellMar>
            <w:top w:w="0" w:type="dxa"/>
            <w:left w:w="0" w:type="dxa"/>
            <w:bottom w:w="0" w:type="dxa"/>
            <w:right w:w="0" w:type="dxa"/>
          </w:tblCellMar>
        </w:tblPrEx>
        <w:trPr>
          <w:trHeight w:val="793" w:hRule="exact"/>
        </w:trPr>
        <w:tc>
          <w:tcPr>
            <w:tcW w:w="12298"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2022年部门一般公共预算拨款基本支出经济分类预算表</w:t>
            </w:r>
          </w:p>
        </w:tc>
      </w:tr>
      <w:tr>
        <w:tblPrEx>
          <w:tblCellMar>
            <w:top w:w="0" w:type="dxa"/>
            <w:left w:w="0" w:type="dxa"/>
            <w:bottom w:w="0" w:type="dxa"/>
            <w:right w:w="0" w:type="dxa"/>
          </w:tblCellMar>
        </w:tblPrEx>
        <w:trPr>
          <w:trHeight w:val="453" w:hRule="exact"/>
        </w:trPr>
        <w:tc>
          <w:tcPr>
            <w:tcW w:w="6178"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编制单位：026182上海工程技术大学附属松江泗泾实验学校</w:t>
            </w: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612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一般公共预算基本支出</w:t>
            </w:r>
          </w:p>
        </w:tc>
      </w:tr>
      <w:tr>
        <w:tblPrEx>
          <w:tblCellMar>
            <w:top w:w="0" w:type="dxa"/>
            <w:left w:w="0" w:type="dxa"/>
            <w:bottom w:w="0" w:type="dxa"/>
            <w:right w:w="0" w:type="dxa"/>
          </w:tblCellMar>
        </w:tblPrEx>
        <w:trPr>
          <w:trHeight w:val="453" w:hRule="exact"/>
        </w:trPr>
        <w:tc>
          <w:tcPr>
            <w:tcW w:w="170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经济分类科目编码</w:t>
            </w:r>
          </w:p>
        </w:tc>
        <w:tc>
          <w:tcPr>
            <w:tcW w:w="447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经济分类科目名称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人员经费</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公用经费</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447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25,248,936.79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18,972,915.99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6,276,020.80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301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工资福利支出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18,962,115.99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18,962,115.99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基本工资</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2,503,260.00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2,503,260.00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津贴补贴</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341,652.00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341,652.00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伙食补助费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729,600.00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729,600.00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07</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绩效工资</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7,840,008.00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7,840,008.00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08</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机关事业单位基本养老保险缴费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1,723,142.40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1,723,142.40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职业年金缴费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861,571.20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861,571.20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10</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职工基本医疗保险缴费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1,130,812.20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其他社会保障缴费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389,860.97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389,860.97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13</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住房公积金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753,874.80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其他工资福利支出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2,688,334.42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2,688,334.42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302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商品和服务支出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6,008,190.80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6,008,190.80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办公费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2,337,361.00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2,337,361.00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物业管理费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2,261,392.00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2,261,392.00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13</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维修（护）费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332,700.00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332,700.00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培训费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123,019.00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123,019.00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劳务费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27</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委托业务费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28</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工会经费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228,778.80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228,778.80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福利费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220,320.00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220,320.00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其他商品和服务支出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504,620.00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504,620.00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303</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对个人和家庭的补助</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278,630.00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10,800.00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267,830.00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08</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助学金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267,830.00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267,830.00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奖励金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3,600.00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3,600.00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其他对个人和家庭的补助</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7,200.00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7,200.00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2302" w:type="dxa"/>
        <w:tblInd w:w="0" w:type="dxa"/>
        <w:tblLayout w:type="fixed"/>
        <w:tblCellMar>
          <w:top w:w="0" w:type="dxa"/>
          <w:left w:w="0" w:type="dxa"/>
          <w:bottom w:w="0" w:type="dxa"/>
          <w:right w:w="0" w:type="dxa"/>
        </w:tblCellMar>
      </w:tblPr>
      <w:tblGrid>
        <w:gridCol w:w="850"/>
        <w:gridCol w:w="850"/>
        <w:gridCol w:w="4479"/>
        <w:gridCol w:w="2041"/>
        <w:gridCol w:w="2041"/>
        <w:gridCol w:w="2041"/>
      </w:tblGrid>
      <w:tr>
        <w:tblPrEx>
          <w:tblCellMar>
            <w:top w:w="0" w:type="dxa"/>
            <w:left w:w="0" w:type="dxa"/>
            <w:bottom w:w="0" w:type="dxa"/>
            <w:right w:w="0" w:type="dxa"/>
          </w:tblCellMar>
        </w:tblPrEx>
        <w:trPr>
          <w:trHeight w:val="793" w:hRule="exact"/>
        </w:trPr>
        <w:tc>
          <w:tcPr>
            <w:tcW w:w="12298"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2022年部门一般公共预算拨款基本支出经济分类预算表</w:t>
            </w:r>
          </w:p>
        </w:tc>
      </w:tr>
      <w:tr>
        <w:tblPrEx>
          <w:tblCellMar>
            <w:top w:w="0" w:type="dxa"/>
            <w:left w:w="0" w:type="dxa"/>
            <w:bottom w:w="0" w:type="dxa"/>
            <w:right w:w="0" w:type="dxa"/>
          </w:tblCellMar>
        </w:tblPrEx>
        <w:trPr>
          <w:trHeight w:val="453" w:hRule="exact"/>
        </w:trPr>
        <w:tc>
          <w:tcPr>
            <w:tcW w:w="6178"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编制单位：026182上海工程技术大学附属松江泗泾实验学校</w:t>
            </w: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612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一般公共预算基本支出</w:t>
            </w:r>
          </w:p>
        </w:tc>
      </w:tr>
      <w:tr>
        <w:tblPrEx>
          <w:tblCellMar>
            <w:top w:w="0" w:type="dxa"/>
            <w:left w:w="0" w:type="dxa"/>
            <w:bottom w:w="0" w:type="dxa"/>
            <w:right w:w="0" w:type="dxa"/>
          </w:tblCellMar>
        </w:tblPrEx>
        <w:trPr>
          <w:trHeight w:val="453" w:hRule="exact"/>
        </w:trPr>
        <w:tc>
          <w:tcPr>
            <w:tcW w:w="170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经济分类科目编码</w:t>
            </w:r>
          </w:p>
        </w:tc>
        <w:tc>
          <w:tcPr>
            <w:tcW w:w="447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经济分类科目名称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人员经费</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公用经费</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447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25,248,936.79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18,972,915.99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6,276,020.80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310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资本性支出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办公设备购置</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20693" w:type="dxa"/>
        <w:tblInd w:w="0" w:type="dxa"/>
        <w:tblLayout w:type="fixed"/>
        <w:tblCellMar>
          <w:top w:w="0" w:type="dxa"/>
          <w:left w:w="0" w:type="dxa"/>
          <w:bottom w:w="0" w:type="dxa"/>
          <w:right w:w="0" w:type="dxa"/>
        </w:tblCellMar>
      </w:tblPr>
      <w:tblGrid>
        <w:gridCol w:w="1531"/>
        <w:gridCol w:w="4083"/>
        <w:gridCol w:w="2155"/>
        <w:gridCol w:w="2154"/>
        <w:gridCol w:w="2154"/>
        <w:gridCol w:w="2154"/>
        <w:gridCol w:w="2154"/>
        <w:gridCol w:w="2154"/>
        <w:gridCol w:w="2154"/>
      </w:tblGrid>
      <w:tr>
        <w:tblPrEx>
          <w:tblCellMar>
            <w:top w:w="0" w:type="dxa"/>
            <w:left w:w="0" w:type="dxa"/>
            <w:bottom w:w="0" w:type="dxa"/>
            <w:right w:w="0" w:type="dxa"/>
          </w:tblCellMar>
        </w:tblPrEx>
        <w:trPr>
          <w:trHeight w:val="793" w:hRule="exact"/>
        </w:trPr>
        <w:tc>
          <w:tcPr>
            <w:tcW w:w="153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408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15078"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2022年部门“三公”经费和机关运行经费预算表</w:t>
            </w:r>
          </w:p>
        </w:tc>
      </w:tr>
      <w:tr>
        <w:tblPrEx>
          <w:tblCellMar>
            <w:top w:w="0" w:type="dxa"/>
            <w:left w:w="0" w:type="dxa"/>
            <w:bottom w:w="0" w:type="dxa"/>
            <w:right w:w="0" w:type="dxa"/>
          </w:tblCellMar>
        </w:tblPrEx>
        <w:trPr>
          <w:trHeight w:val="453" w:hRule="exact"/>
        </w:trPr>
        <w:tc>
          <w:tcPr>
            <w:tcW w:w="14227"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编制单位：026182上海工程技术大学附属松江泗泾实验学校</w:t>
            </w:r>
          </w:p>
        </w:tc>
        <w:tc>
          <w:tcPr>
            <w:tcW w:w="6462"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680" w:hRule="exact"/>
        </w:trPr>
        <w:tc>
          <w:tcPr>
            <w:tcW w:w="5611"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预算单位</w:t>
            </w:r>
          </w:p>
        </w:tc>
        <w:tc>
          <w:tcPr>
            <w:tcW w:w="1292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2022年“三公”经费预算数</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2022年机关运行经费预算数</w:t>
            </w:r>
          </w:p>
        </w:tc>
      </w:tr>
      <w:tr>
        <w:tblPrEx>
          <w:tblCellMar>
            <w:top w:w="0" w:type="dxa"/>
            <w:left w:w="0" w:type="dxa"/>
            <w:bottom w:w="0" w:type="dxa"/>
            <w:right w:w="0" w:type="dxa"/>
          </w:tblCellMar>
        </w:tblPrEx>
        <w:trPr>
          <w:trHeight w:val="510" w:hRule="exact"/>
        </w:trPr>
        <w:tc>
          <w:tcPr>
            <w:tcW w:w="5611"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因公出国（境）费</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公务接待费</w:t>
            </w:r>
          </w:p>
        </w:tc>
        <w:tc>
          <w:tcPr>
            <w:tcW w:w="646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公务用车购置及运行费</w:t>
            </w: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5611"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小计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购置费</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运行费</w:t>
            </w: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56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15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408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8323" w:type="dxa"/>
        <w:tblInd w:w="0" w:type="dxa"/>
        <w:tblLayout w:type="fixed"/>
        <w:tblCellMar>
          <w:top w:w="0" w:type="dxa"/>
          <w:left w:w="0" w:type="dxa"/>
          <w:bottom w:w="0" w:type="dxa"/>
          <w:right w:w="0" w:type="dxa"/>
        </w:tblCellMar>
      </w:tblPr>
      <w:tblGrid>
        <w:gridCol w:w="18323"/>
      </w:tblGrid>
      <w:tr>
        <w:tblPrEx>
          <w:tblCellMar>
            <w:top w:w="0" w:type="dxa"/>
            <w:left w:w="0" w:type="dxa"/>
            <w:bottom w:w="0" w:type="dxa"/>
            <w:right w:w="0" w:type="dxa"/>
          </w:tblCellMar>
        </w:tblPrEx>
        <w:trPr>
          <w:trHeight w:val="793"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hint="default" w:ascii="Dialog" w:hAnsi="Times New Roman" w:cs="Dialog"/>
                <w:sz w:val="40"/>
                <w:szCs w:val="40"/>
              </w:rPr>
            </w:pPr>
            <w:r>
              <w:rPr>
                <w:rFonts w:ascii="Dialog" w:hAnsi="Times New Roman" w:cs="Dialog"/>
                <w:b/>
                <w:sz w:val="40"/>
                <w:szCs w:val="40"/>
              </w:rPr>
              <w:t>其他相关情况说明</w:t>
            </w:r>
          </w:p>
        </w:tc>
      </w:tr>
      <w:tr>
        <w:tblPrEx>
          <w:tblCellMar>
            <w:top w:w="0" w:type="dxa"/>
            <w:left w:w="0" w:type="dxa"/>
            <w:bottom w:w="0" w:type="dxa"/>
            <w:right w:w="0" w:type="dxa"/>
          </w:tblCellMar>
        </w:tblPrEx>
        <w:trPr>
          <w:trHeight w:val="510"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rPr>
                <w:rFonts w:hint="default" w:ascii="Dialog" w:hAnsi="Times New Roman" w:cs="Dialog"/>
                <w:sz w:val="20"/>
                <w:szCs w:val="20"/>
              </w:rPr>
            </w:pPr>
          </w:p>
        </w:tc>
      </w:tr>
      <w:tr>
        <w:tblPrEx>
          <w:tblCellMar>
            <w:top w:w="0" w:type="dxa"/>
            <w:left w:w="0" w:type="dxa"/>
            <w:bottom w:w="0" w:type="dxa"/>
            <w:right w:w="0" w:type="dxa"/>
          </w:tblCellMar>
        </w:tblPrEx>
        <w:trPr>
          <w:trHeight w:val="785"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tcPr>
          <w:p>
            <w:pPr>
              <w:pStyle w:val="9"/>
              <w:spacing w:before="3"/>
              <w:rPr>
                <w:rFonts w:hint="default" w:ascii="宋体" w:hAnsi="宋体" w:cs="宋体"/>
                <w:sz w:val="32"/>
                <w:szCs w:val="32"/>
              </w:rPr>
            </w:pPr>
          </w:p>
          <w:p>
            <w:pPr>
              <w:pStyle w:val="9"/>
              <w:ind w:left="200"/>
              <w:rPr>
                <w:rFonts w:hint="default" w:ascii="宋体" w:hAnsi="宋体" w:cs="宋体"/>
                <w:sz w:val="32"/>
                <w:szCs w:val="32"/>
              </w:rPr>
            </w:pPr>
            <w:r>
              <w:rPr>
                <w:rFonts w:ascii="宋体" w:hAnsi="宋体" w:cs="宋体"/>
                <w:b/>
                <w:sz w:val="32"/>
                <w:szCs w:val="32"/>
              </w:rPr>
              <w:t>一</w:t>
            </w:r>
            <w:r>
              <w:rPr>
                <w:rFonts w:ascii="宋体" w:hAnsi="宋体" w:cs="宋体"/>
                <w:sz w:val="32"/>
                <w:szCs w:val="32"/>
              </w:rPr>
              <w:t>、</w:t>
            </w:r>
            <w:r>
              <w:rPr>
                <w:rFonts w:ascii="宋体" w:hAnsi="宋体" w:cs="宋体"/>
                <w:b/>
                <w:sz w:val="32"/>
                <w:szCs w:val="32"/>
              </w:rPr>
              <w:t>2022年“三公”经费预算情况说明</w:t>
            </w:r>
          </w:p>
        </w:tc>
      </w:tr>
      <w:tr>
        <w:tblPrEx>
          <w:tblCellMar>
            <w:top w:w="0" w:type="dxa"/>
            <w:left w:w="0" w:type="dxa"/>
            <w:bottom w:w="0" w:type="dxa"/>
            <w:right w:w="0" w:type="dxa"/>
          </w:tblCellMar>
        </w:tblPrEx>
        <w:trPr>
          <w:trHeight w:val="510"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tcPr>
          <w:p>
            <w:pPr>
              <w:pStyle w:val="9"/>
              <w:spacing w:before="153"/>
              <w:ind w:left="200" w:firstLine="640" w:firstLineChars="200"/>
              <w:rPr>
                <w:rFonts w:hint="default" w:ascii="宋体" w:hAnsi="宋体" w:cs="宋体"/>
                <w:sz w:val="32"/>
                <w:szCs w:val="32"/>
              </w:rPr>
            </w:pPr>
            <w:r>
              <w:rPr>
                <w:rFonts w:ascii="宋体" w:hAnsi="宋体" w:cs="宋体"/>
                <w:sz w:val="32"/>
                <w:szCs w:val="32"/>
              </w:rPr>
              <w:t>2022年“三公”经费预算数为0万元。</w:t>
            </w:r>
          </w:p>
        </w:tc>
      </w:tr>
      <w:tr>
        <w:tblPrEx>
          <w:tblCellMar>
            <w:top w:w="0" w:type="dxa"/>
            <w:left w:w="0" w:type="dxa"/>
            <w:bottom w:w="0" w:type="dxa"/>
            <w:right w:w="0" w:type="dxa"/>
          </w:tblCellMar>
        </w:tblPrEx>
        <w:trPr>
          <w:trHeight w:val="570"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tcPr>
          <w:p>
            <w:pPr>
              <w:pStyle w:val="9"/>
              <w:spacing w:before="153"/>
              <w:ind w:left="200" w:firstLine="640" w:firstLineChars="200"/>
              <w:rPr>
                <w:rFonts w:hint="default" w:ascii="宋体" w:hAnsi="宋体" w:cs="宋体"/>
                <w:sz w:val="32"/>
                <w:szCs w:val="32"/>
              </w:rPr>
            </w:pPr>
            <w:r>
              <w:rPr>
                <w:rFonts w:ascii="宋体" w:hAnsi="宋体" w:cs="宋体"/>
                <w:sz w:val="32"/>
                <w:szCs w:val="32"/>
              </w:rPr>
              <w:t>（一）因公出国（境）费0万元。</w:t>
            </w:r>
          </w:p>
        </w:tc>
      </w:tr>
      <w:tr>
        <w:tblPrEx>
          <w:tblCellMar>
            <w:top w:w="0" w:type="dxa"/>
            <w:left w:w="0" w:type="dxa"/>
            <w:bottom w:w="0" w:type="dxa"/>
            <w:right w:w="0" w:type="dxa"/>
          </w:tblCellMar>
        </w:tblPrEx>
        <w:trPr>
          <w:trHeight w:val="510"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tcPr>
          <w:p>
            <w:pPr>
              <w:pStyle w:val="9"/>
              <w:spacing w:before="153"/>
              <w:ind w:left="200" w:firstLine="640" w:firstLineChars="200"/>
              <w:rPr>
                <w:rFonts w:hint="default" w:ascii="宋体" w:hAnsi="宋体" w:cs="宋体"/>
                <w:sz w:val="32"/>
                <w:szCs w:val="32"/>
              </w:rPr>
            </w:pPr>
            <w:r>
              <w:rPr>
                <w:rFonts w:ascii="宋体" w:hAnsi="宋体" w:cs="宋体"/>
                <w:sz w:val="32"/>
                <w:szCs w:val="32"/>
              </w:rPr>
              <w:t>（二）公务用车购置及运行费0万元。</w:t>
            </w:r>
          </w:p>
        </w:tc>
      </w:tr>
      <w:tr>
        <w:tblPrEx>
          <w:tblCellMar>
            <w:top w:w="0" w:type="dxa"/>
            <w:left w:w="0" w:type="dxa"/>
            <w:bottom w:w="0" w:type="dxa"/>
            <w:right w:w="0" w:type="dxa"/>
          </w:tblCellMar>
        </w:tblPrEx>
        <w:trPr>
          <w:trHeight w:val="1165"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tcPr>
          <w:p>
            <w:pPr>
              <w:pStyle w:val="9"/>
              <w:numPr>
                <w:ilvl w:val="0"/>
                <w:numId w:val="4"/>
              </w:numPr>
              <w:spacing w:before="153"/>
              <w:ind w:left="200" w:firstLine="640" w:firstLineChars="200"/>
              <w:rPr>
                <w:rFonts w:hint="default" w:ascii="宋体" w:hAnsi="宋体" w:cs="宋体"/>
                <w:sz w:val="32"/>
                <w:szCs w:val="32"/>
              </w:rPr>
            </w:pPr>
            <w:r>
              <w:rPr>
                <w:rFonts w:ascii="宋体" w:hAnsi="宋体" w:cs="宋体"/>
                <w:sz w:val="32"/>
                <w:szCs w:val="32"/>
              </w:rPr>
              <w:t>公务接待费0万元。</w:t>
            </w:r>
          </w:p>
          <w:p>
            <w:pPr>
              <w:pStyle w:val="9"/>
              <w:spacing w:before="153"/>
              <w:rPr>
                <w:rFonts w:hint="default" w:ascii="宋体" w:hAnsi="宋体" w:cs="宋体"/>
                <w:sz w:val="32"/>
                <w:szCs w:val="32"/>
              </w:rPr>
            </w:pPr>
          </w:p>
        </w:tc>
      </w:tr>
      <w:tr>
        <w:tblPrEx>
          <w:tblCellMar>
            <w:top w:w="0" w:type="dxa"/>
            <w:left w:w="0" w:type="dxa"/>
            <w:bottom w:w="0" w:type="dxa"/>
            <w:right w:w="0" w:type="dxa"/>
          </w:tblCellMar>
        </w:tblPrEx>
        <w:trPr>
          <w:trHeight w:val="510"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tcPr>
          <w:p>
            <w:pPr>
              <w:pStyle w:val="9"/>
              <w:spacing w:before="153"/>
              <w:ind w:left="200"/>
              <w:rPr>
                <w:rFonts w:hint="default" w:ascii="宋体" w:hAnsi="宋体" w:cs="宋体"/>
                <w:sz w:val="32"/>
                <w:szCs w:val="32"/>
              </w:rPr>
            </w:pPr>
            <w:r>
              <w:rPr>
                <w:rFonts w:ascii="宋体" w:hAnsi="宋体" w:cs="宋体"/>
                <w:sz w:val="32"/>
                <w:szCs w:val="32"/>
              </w:rPr>
              <w:t>二、</w:t>
            </w:r>
            <w:r>
              <w:rPr>
                <w:rFonts w:ascii="宋体" w:hAnsi="宋体" w:cs="宋体"/>
                <w:b/>
                <w:sz w:val="32"/>
                <w:szCs w:val="32"/>
              </w:rPr>
              <w:t>机关运行经费预算</w:t>
            </w:r>
          </w:p>
        </w:tc>
      </w:tr>
      <w:tr>
        <w:tblPrEx>
          <w:tblCellMar>
            <w:top w:w="0" w:type="dxa"/>
            <w:left w:w="0" w:type="dxa"/>
            <w:bottom w:w="0" w:type="dxa"/>
            <w:right w:w="0" w:type="dxa"/>
          </w:tblCellMar>
        </w:tblPrEx>
        <w:trPr>
          <w:trHeight w:val="1180"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tcPr>
          <w:p>
            <w:pPr>
              <w:pStyle w:val="9"/>
              <w:spacing w:before="171"/>
              <w:ind w:left="200" w:firstLine="640" w:firstLineChars="200"/>
              <w:rPr>
                <w:rFonts w:hint="default" w:ascii="宋体" w:hAnsi="宋体" w:cs="宋体"/>
                <w:sz w:val="32"/>
                <w:szCs w:val="32"/>
              </w:rPr>
            </w:pPr>
            <w:r>
              <w:rPr>
                <w:rFonts w:ascii="宋体" w:hAnsi="宋体" w:cs="宋体"/>
                <w:sz w:val="32"/>
                <w:szCs w:val="32"/>
              </w:rPr>
              <w:t>2022年上海工程技术大学附属松江泗泾实验学校无机关运行经费。</w:t>
            </w:r>
          </w:p>
        </w:tc>
      </w:tr>
      <w:tr>
        <w:tblPrEx>
          <w:tblCellMar>
            <w:top w:w="0" w:type="dxa"/>
            <w:left w:w="0" w:type="dxa"/>
            <w:bottom w:w="0" w:type="dxa"/>
            <w:right w:w="0" w:type="dxa"/>
          </w:tblCellMar>
        </w:tblPrEx>
        <w:trPr>
          <w:trHeight w:val="580"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tcPr>
          <w:p>
            <w:pPr>
              <w:pStyle w:val="9"/>
              <w:spacing w:before="172"/>
              <w:ind w:left="200"/>
              <w:rPr>
                <w:rFonts w:hint="default" w:ascii="宋体" w:hAnsi="宋体" w:cs="宋体"/>
                <w:sz w:val="32"/>
                <w:szCs w:val="32"/>
              </w:rPr>
            </w:pPr>
            <w:r>
              <w:rPr>
                <w:rFonts w:ascii="宋体" w:hAnsi="宋体" w:cs="宋体"/>
                <w:sz w:val="32"/>
                <w:szCs w:val="32"/>
              </w:rPr>
              <w:t>三、</w:t>
            </w:r>
            <w:r>
              <w:rPr>
                <w:rFonts w:ascii="宋体" w:hAnsi="宋体" w:cs="宋体"/>
                <w:b/>
                <w:sz w:val="32"/>
                <w:szCs w:val="32"/>
              </w:rPr>
              <w:t>政府采购情况</w:t>
            </w:r>
          </w:p>
        </w:tc>
      </w:tr>
      <w:tr>
        <w:tblPrEx>
          <w:tblCellMar>
            <w:top w:w="0" w:type="dxa"/>
            <w:left w:w="0" w:type="dxa"/>
            <w:bottom w:w="0" w:type="dxa"/>
            <w:right w:w="0" w:type="dxa"/>
          </w:tblCellMar>
        </w:tblPrEx>
        <w:trPr>
          <w:trHeight w:val="1685"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tcPr>
          <w:p>
            <w:pPr>
              <w:pStyle w:val="9"/>
              <w:spacing w:before="145" w:line="230" w:lineRule="auto"/>
              <w:ind w:left="958" w:leftChars="399" w:right="197"/>
              <w:rPr>
                <w:rFonts w:hint="default" w:ascii="宋体" w:hAnsi="宋体" w:cs="宋体"/>
                <w:sz w:val="32"/>
                <w:szCs w:val="32"/>
              </w:rPr>
            </w:pPr>
            <w:r>
              <w:rPr>
                <w:rFonts w:ascii="宋体" w:hAnsi="宋体" w:cs="宋体"/>
                <w:sz w:val="32"/>
                <w:szCs w:val="32"/>
              </w:rPr>
              <w:t>2022年度本单位政府采购预算167万元，其中：政府采购货物预算4.3万元、政府采购服务预算162万元。</w:t>
            </w:r>
          </w:p>
          <w:p>
            <w:pPr>
              <w:pStyle w:val="9"/>
              <w:spacing w:before="145" w:line="230" w:lineRule="auto"/>
              <w:ind w:left="958" w:leftChars="399" w:right="197"/>
              <w:rPr>
                <w:rFonts w:hint="default" w:ascii="宋体" w:hAnsi="宋体" w:cs="宋体"/>
                <w:sz w:val="32"/>
                <w:szCs w:val="32"/>
              </w:rPr>
            </w:pPr>
          </w:p>
          <w:p>
            <w:pPr>
              <w:pStyle w:val="9"/>
              <w:spacing w:before="145" w:line="230" w:lineRule="auto"/>
              <w:ind w:left="200" w:right="197"/>
              <w:rPr>
                <w:rFonts w:hint="default" w:ascii="宋体" w:hAnsi="宋体" w:cs="宋体"/>
                <w:sz w:val="32"/>
                <w:szCs w:val="32"/>
              </w:rPr>
            </w:pPr>
          </w:p>
          <w:p>
            <w:pPr>
              <w:pStyle w:val="9"/>
              <w:spacing w:before="145" w:line="230" w:lineRule="auto"/>
              <w:ind w:left="200" w:right="197"/>
              <w:rPr>
                <w:rFonts w:hint="default" w:ascii="宋体" w:hAnsi="宋体" w:cs="宋体"/>
                <w:sz w:val="32"/>
                <w:szCs w:val="32"/>
              </w:rPr>
            </w:pPr>
          </w:p>
          <w:p>
            <w:pPr>
              <w:pStyle w:val="9"/>
              <w:spacing w:before="145" w:line="230" w:lineRule="auto"/>
              <w:ind w:right="197"/>
              <w:rPr>
                <w:rFonts w:hint="default" w:ascii="宋体" w:hAnsi="宋体" w:cs="宋体"/>
                <w:sz w:val="32"/>
                <w:szCs w:val="32"/>
              </w:rPr>
            </w:pPr>
          </w:p>
        </w:tc>
      </w:tr>
      <w:tr>
        <w:tblPrEx>
          <w:tblCellMar>
            <w:top w:w="0" w:type="dxa"/>
            <w:left w:w="0" w:type="dxa"/>
            <w:bottom w:w="0" w:type="dxa"/>
            <w:right w:w="0" w:type="dxa"/>
          </w:tblCellMar>
        </w:tblPrEx>
        <w:trPr>
          <w:trHeight w:val="115"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rPr>
                <w:rFonts w:hint="default" w:ascii="Dialog" w:hAnsi="Times New Roman" w:cs="Dialog"/>
                <w:sz w:val="20"/>
                <w:szCs w:val="20"/>
              </w:rPr>
            </w:pPr>
          </w:p>
        </w:tc>
      </w:tr>
      <w:tr>
        <w:tblPrEx>
          <w:tblCellMar>
            <w:top w:w="0" w:type="dxa"/>
            <w:left w:w="0" w:type="dxa"/>
            <w:bottom w:w="0" w:type="dxa"/>
            <w:right w:w="0" w:type="dxa"/>
          </w:tblCellMar>
        </w:tblPrEx>
        <w:trPr>
          <w:trHeight w:val="510"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pStyle w:val="9"/>
              <w:spacing w:before="145" w:line="230" w:lineRule="auto"/>
              <w:ind w:right="197" w:firstLine="320" w:firstLineChars="100"/>
              <w:rPr>
                <w:rFonts w:hint="default" w:ascii="宋体" w:hAnsi="宋体" w:cs="宋体"/>
                <w:sz w:val="32"/>
                <w:szCs w:val="32"/>
              </w:rPr>
            </w:pPr>
            <w:r>
              <w:rPr>
                <w:rFonts w:ascii="宋体" w:hAnsi="宋体" w:cs="宋体"/>
                <w:sz w:val="32"/>
                <w:szCs w:val="32"/>
              </w:rPr>
              <w:t>四、</w:t>
            </w:r>
            <w:r>
              <w:rPr>
                <w:rFonts w:ascii="宋体" w:hAnsi="宋体" w:cs="宋体"/>
                <w:b/>
                <w:sz w:val="32"/>
                <w:szCs w:val="32"/>
              </w:rPr>
              <w:t>绩效目标设置情况</w:t>
            </w:r>
          </w:p>
        </w:tc>
      </w:tr>
      <w:tr>
        <w:tblPrEx>
          <w:tblCellMar>
            <w:top w:w="0" w:type="dxa"/>
            <w:left w:w="0" w:type="dxa"/>
            <w:bottom w:w="0" w:type="dxa"/>
            <w:right w:w="0" w:type="dxa"/>
          </w:tblCellMar>
        </w:tblPrEx>
        <w:trPr>
          <w:trHeight w:val="4524" w:hRule="exact"/>
        </w:trPr>
        <w:tc>
          <w:tcPr>
            <w:tcW w:w="1832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pStyle w:val="9"/>
              <w:spacing w:before="145" w:line="230" w:lineRule="auto"/>
              <w:ind w:left="958" w:leftChars="399" w:right="197" w:firstLine="640"/>
              <w:rPr>
                <w:rFonts w:hint="default" w:ascii="宋体" w:hAnsi="宋体" w:cs="宋体"/>
                <w:sz w:val="32"/>
                <w:szCs w:val="32"/>
              </w:rPr>
            </w:pPr>
            <w:r>
              <w:rPr>
                <w:rFonts w:ascii="宋体" w:hAnsi="宋体" w:cs="宋体"/>
                <w:sz w:val="32"/>
                <w:szCs w:val="32"/>
              </w:rPr>
              <w:t>按照本区预算绩效管理工作的总体要求，我校开展了2022年项目预算绩效目标编报工作，编报绩效目标的项目分五大类20个项目，涉及项目预算资金804万元。（绩效目标管理工作情况，以及编报绩效目标的项目数量、预算金额等）</w:t>
            </w:r>
          </w:p>
          <w:p>
            <w:pPr>
              <w:pStyle w:val="9"/>
              <w:spacing w:before="145" w:line="230" w:lineRule="auto"/>
              <w:ind w:left="958" w:leftChars="399" w:right="197" w:firstLine="640"/>
              <w:rPr>
                <w:rFonts w:hint="default" w:ascii="宋体" w:hAnsi="宋体" w:cs="宋体"/>
                <w:sz w:val="32"/>
                <w:szCs w:val="32"/>
              </w:rPr>
            </w:pPr>
          </w:p>
          <w:p>
            <w:pPr>
              <w:rPr>
                <w:rFonts w:hint="default" w:ascii="宋体" w:hAnsi="宋体" w:cs="宋体"/>
                <w:sz w:val="32"/>
                <w:szCs w:val="32"/>
              </w:rPr>
            </w:pPr>
            <w:r>
              <w:rPr>
                <w:rFonts w:ascii="宋体" w:hAnsi="宋体" w:cs="宋体"/>
                <w:sz w:val="32"/>
                <w:szCs w:val="32"/>
              </w:rPr>
              <w:t xml:space="preserve">  五、国有资产占有使用情况</w:t>
            </w:r>
          </w:p>
          <w:p>
            <w:pPr>
              <w:ind w:firstLine="960" w:firstLineChars="300"/>
              <w:rPr>
                <w:rFonts w:hint="default" w:ascii="宋体" w:hAnsi="宋体" w:cs="宋体"/>
                <w:sz w:val="32"/>
                <w:szCs w:val="32"/>
              </w:rPr>
            </w:pPr>
            <w:r>
              <w:rPr>
                <w:rFonts w:ascii="宋体" w:hAnsi="宋体" w:cs="宋体"/>
                <w:sz w:val="32"/>
                <w:szCs w:val="32"/>
              </w:rPr>
              <w:t>截至2021年8月31日，上海工程技术大学附属松江泗泾实验学校共有车辆0辆，其中：部级领导干部用车0辆、主要领导干部用车0辆、机要通信用车0辆、应急保障用车0辆、执法执勤用车0辆、特种专业技术用车0辆、离退休干部用车0辆、其他用车0辆；单价100万元（含）以上设备（不含车辆）0台（套）。2022年预算安排购置车辆0辆。</w:t>
            </w:r>
          </w:p>
          <w:p>
            <w:pPr>
              <w:ind w:firstLine="960" w:firstLineChars="300"/>
              <w:rPr>
                <w:rFonts w:hint="default" w:ascii="宋体" w:hAnsi="宋体" w:cs="宋体"/>
                <w:sz w:val="32"/>
                <w:szCs w:val="32"/>
              </w:rPr>
            </w:pPr>
            <w:r>
              <w:rPr>
                <w:rFonts w:ascii="宋体" w:hAnsi="宋体" w:cs="宋体"/>
                <w:sz w:val="32"/>
                <w:szCs w:val="32"/>
              </w:rPr>
              <w:t>2022年部门预算安排购置车辆0辆，其中：部级领导干部用车0辆、主要领导干部用车0辆、机要通信用车0辆、应急保障用车0辆、执法执勤用车0辆、特种专业技术用车0辆、离退休干部用车0辆、其他用车0辆；部门预算安排购置单价100万元（含）以上设备（不含车辆）0台（套）。</w:t>
            </w:r>
          </w:p>
          <w:p>
            <w:pPr>
              <w:rPr>
                <w:rFonts w:hint="default" w:ascii="宋体" w:hAnsi="宋体" w:cs="宋体"/>
                <w:sz w:val="32"/>
                <w:szCs w:val="32"/>
              </w:rPr>
            </w:pPr>
          </w:p>
          <w:p>
            <w:pPr>
              <w:pStyle w:val="9"/>
              <w:spacing w:before="145" w:line="230" w:lineRule="auto"/>
              <w:ind w:right="197"/>
              <w:rPr>
                <w:rFonts w:hint="default" w:ascii="宋体" w:hAnsi="宋体" w:cs="宋体"/>
                <w:sz w:val="32"/>
                <w:szCs w:val="32"/>
              </w:rPr>
            </w:pPr>
          </w:p>
        </w:tc>
      </w:tr>
    </w:tbl>
    <w:p>
      <w:pPr>
        <w:pStyle w:val="9"/>
        <w:spacing w:before="145" w:line="230" w:lineRule="auto"/>
        <w:ind w:left="958" w:leftChars="399" w:right="197"/>
        <w:rPr>
          <w:rFonts w:hint="default" w:ascii="宋体" w:hAnsi="宋体" w:cs="宋体"/>
          <w:sz w:val="32"/>
          <w:szCs w:val="32"/>
        </w:rPr>
      </w:pPr>
    </w:p>
    <w:sectPr>
      <w:headerReference r:id="rId3" w:type="default"/>
      <w:pgSz w:w="23811" w:h="16837" w:orient="landscape"/>
      <w:pgMar w:top="340" w:right="453" w:bottom="340" w:left="45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Dialog">
    <w:altName w:val="DejaVu Sans"/>
    <w:panose1 w:val="00000000000000000000"/>
    <w:charset w:val="86"/>
    <w:family w:val="roma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ialog">
    <w:altName w:val="DejaVu Sans"/>
    <w:panose1 w:val="00000000000000000000"/>
    <w:charset w:val="00"/>
    <w:family w:val="roman"/>
    <w:pitch w:val="default"/>
    <w:sig w:usb0="00000000" w:usb1="00000000" w:usb2="00000000" w:usb3="00000000" w:csb0="00040001" w:csb1="00000000"/>
  </w:font>
  <w:font w:name="_5b8b_4f53">
    <w:altName w:val="汉仪新人文宋简"/>
    <w:panose1 w:val="00000000000000000000"/>
    <w:charset w:val="00"/>
    <w:family w:val="roman"/>
    <w:pitch w:val="default"/>
    <w:sig w:usb0="00000000" w:usb1="00000000" w:usb2="00000000" w:usb3="00000000" w:csb0="00040001" w:csb1="00000000"/>
  </w:font>
  <w:font w:name="汉仪新人文宋简">
    <w:panose1 w:val="00020600040101010101"/>
    <w:charset w:val="86"/>
    <w:family w:val="auto"/>
    <w:pitch w:val="default"/>
    <w:sig w:usb0="A00002BF" w:usb1="1ACF7CFA" w:usb2="00000016" w:usb3="00000000" w:csb0="0004009F" w:csb1="DFD70000"/>
  </w:font>
  <w:font w:name="Noto Sans Syriac Eastern">
    <w:panose1 w:val="02040503050306020203"/>
    <w:charset w:val="86"/>
    <w:family w:val="auto"/>
    <w:pitch w:val="default"/>
    <w:sig w:usb0="00000000" w:usb1="00000000" w:usb2="00000080" w:usb3="00000000" w:csb0="203E0161" w:csb1="D7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p>
  <w:p>
    <w:pPr>
      <w:pStyle w:val="6"/>
      <w:rPr>
        <w:rFonts w:hint="default"/>
      </w:rPr>
    </w:pPr>
  </w:p>
  <w:p>
    <w:pPr>
      <w:pStyle w:val="6"/>
      <w:rPr>
        <w:rFonts w:hint="default"/>
      </w:rPr>
    </w:pPr>
  </w:p>
  <w:p>
    <w:pPr>
      <w:pStyle w:val="6"/>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2FB10"/>
    <w:multiLevelType w:val="multilevel"/>
    <w:tmpl w:val="9612FB10"/>
    <w:lvl w:ilvl="0" w:tentative="0">
      <w:start w:val="4"/>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
    <w:nsid w:val="11096DF3"/>
    <w:multiLevelType w:val="multilevel"/>
    <w:tmpl w:val="11096DF3"/>
    <w:lvl w:ilvl="0" w:tentative="0">
      <w:start w:val="1"/>
      <w:numFmt w:val="decimal"/>
      <w:suff w:val="space"/>
      <w:lvlText w:val="%1."/>
      <w:lvlJc w:val="left"/>
      <w:pPr>
        <w:ind w:left="-80"/>
      </w:pPr>
      <w:rPr>
        <w:rFonts w:hint="default"/>
        <w:u w:val="none"/>
      </w:rPr>
    </w:lvl>
    <w:lvl w:ilvl="1" w:tentative="0">
      <w:start w:val="1"/>
      <w:numFmt w:val="decimal"/>
      <w:lvlText w:val=""/>
      <w:lvlJc w:val="left"/>
      <w:pPr>
        <w:ind w:left="-80"/>
      </w:pPr>
      <w:rPr>
        <w:rFonts w:hint="default"/>
        <w:u w:val="none"/>
      </w:rPr>
    </w:lvl>
    <w:lvl w:ilvl="2" w:tentative="0">
      <w:start w:val="1"/>
      <w:numFmt w:val="decimal"/>
      <w:lvlText w:val=""/>
      <w:lvlJc w:val="left"/>
      <w:pPr>
        <w:ind w:left="-80"/>
      </w:pPr>
      <w:rPr>
        <w:rFonts w:hint="default"/>
        <w:u w:val="none"/>
      </w:rPr>
    </w:lvl>
    <w:lvl w:ilvl="3" w:tentative="0">
      <w:start w:val="1"/>
      <w:numFmt w:val="decimal"/>
      <w:lvlText w:val=""/>
      <w:lvlJc w:val="left"/>
      <w:pPr>
        <w:ind w:left="-80"/>
      </w:pPr>
      <w:rPr>
        <w:rFonts w:hint="default"/>
        <w:u w:val="none"/>
      </w:rPr>
    </w:lvl>
    <w:lvl w:ilvl="4" w:tentative="0">
      <w:start w:val="1"/>
      <w:numFmt w:val="decimal"/>
      <w:lvlText w:val=""/>
      <w:lvlJc w:val="left"/>
      <w:pPr>
        <w:ind w:left="-80"/>
      </w:pPr>
      <w:rPr>
        <w:rFonts w:hint="default"/>
        <w:u w:val="none"/>
      </w:rPr>
    </w:lvl>
    <w:lvl w:ilvl="5" w:tentative="0">
      <w:start w:val="1"/>
      <w:numFmt w:val="decimal"/>
      <w:lvlText w:val=""/>
      <w:lvlJc w:val="left"/>
      <w:pPr>
        <w:ind w:left="-80"/>
      </w:pPr>
      <w:rPr>
        <w:rFonts w:hint="default"/>
        <w:u w:val="none"/>
      </w:rPr>
    </w:lvl>
    <w:lvl w:ilvl="6" w:tentative="0">
      <w:start w:val="1"/>
      <w:numFmt w:val="decimal"/>
      <w:lvlText w:val=""/>
      <w:lvlJc w:val="left"/>
      <w:pPr>
        <w:ind w:left="-80"/>
      </w:pPr>
      <w:rPr>
        <w:rFonts w:hint="default"/>
        <w:u w:val="none"/>
      </w:rPr>
    </w:lvl>
    <w:lvl w:ilvl="7" w:tentative="0">
      <w:start w:val="1"/>
      <w:numFmt w:val="decimal"/>
      <w:lvlText w:val=""/>
      <w:lvlJc w:val="left"/>
      <w:pPr>
        <w:ind w:left="-80"/>
      </w:pPr>
      <w:rPr>
        <w:rFonts w:hint="default"/>
        <w:u w:val="none"/>
      </w:rPr>
    </w:lvl>
    <w:lvl w:ilvl="8" w:tentative="0">
      <w:start w:val="1"/>
      <w:numFmt w:val="decimal"/>
      <w:lvlText w:val=""/>
      <w:lvlJc w:val="left"/>
      <w:pPr>
        <w:ind w:left="-80"/>
      </w:pPr>
      <w:rPr>
        <w:rFonts w:hint="default"/>
        <w:u w:val="none"/>
      </w:rPr>
    </w:lvl>
  </w:abstractNum>
  <w:abstractNum w:abstractNumId="2">
    <w:nsid w:val="2C7945FD"/>
    <w:multiLevelType w:val="multilevel"/>
    <w:tmpl w:val="2C7945FD"/>
    <w:lvl w:ilvl="0" w:tentative="0">
      <w:start w:val="2"/>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6C3A3DE1"/>
    <w:multiLevelType w:val="multilevel"/>
    <w:tmpl w:val="6C3A3DE1"/>
    <w:lvl w:ilvl="0" w:tentative="0">
      <w:start w:val="3"/>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0"/>
  <w:displayVerticalDrawingGridEvery w:val="3"/>
  <w:doNotUseMarginsForDrawingGridOrigin w:val="true"/>
  <w:drawingGridHorizontalOrigin w:val="1800"/>
  <w:drawingGridVerticalOrigin w:val="1440"/>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N2UwMzRmMTFlZTc4YTVlN2I3ZjU2MmZmNDgxOWEifQ=="/>
  </w:docVars>
  <w:rsids>
    <w:rsidRoot w:val="00172A27"/>
    <w:rsid w:val="00172A27"/>
    <w:rsid w:val="001B3E1A"/>
    <w:rsid w:val="00473672"/>
    <w:rsid w:val="005423FA"/>
    <w:rsid w:val="00B6731D"/>
    <w:rsid w:val="00B70CE9"/>
    <w:rsid w:val="057B7981"/>
    <w:rsid w:val="45FB77CB"/>
    <w:rsid w:val="484B3AEA"/>
    <w:rsid w:val="6632293D"/>
    <w:rsid w:val="6A52407B"/>
    <w:rsid w:val="6C38294F"/>
    <w:rsid w:val="6DF99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5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eastAsia" w:ascii="Arial" w:hAnsi="Arial" w:eastAsia="宋体" w:cs="Arial"/>
      <w:color w:val="000000"/>
      <w:sz w:val="24"/>
      <w:szCs w:val="24"/>
      <w:lang w:val="en-US" w:eastAsia="zh-CN" w:bidi="ar-SA"/>
    </w:rPr>
  </w:style>
  <w:style w:type="paragraph" w:styleId="2">
    <w:name w:val="heading 1"/>
    <w:basedOn w:val="1"/>
    <w:next w:val="1"/>
    <w:link w:val="10"/>
    <w:unhideWhenUsed/>
    <w:qFormat/>
    <w:uiPriority w:val="9"/>
    <w:pPr>
      <w:outlineLvl w:val="0"/>
    </w:pPr>
    <w:rPr>
      <w:b/>
      <w:sz w:val="32"/>
      <w:szCs w:val="32"/>
    </w:rPr>
  </w:style>
  <w:style w:type="paragraph" w:styleId="3">
    <w:name w:val="heading 2"/>
    <w:basedOn w:val="1"/>
    <w:next w:val="1"/>
    <w:link w:val="11"/>
    <w:unhideWhenUsed/>
    <w:qFormat/>
    <w:uiPriority w:val="99"/>
    <w:pPr>
      <w:outlineLvl w:val="1"/>
    </w:pPr>
    <w:rPr>
      <w:b/>
      <w:i/>
      <w:sz w:val="28"/>
      <w:szCs w:val="28"/>
    </w:rPr>
  </w:style>
  <w:style w:type="paragraph" w:styleId="4">
    <w:name w:val="heading 3"/>
    <w:basedOn w:val="1"/>
    <w:next w:val="1"/>
    <w:link w:val="12"/>
    <w:unhideWhenUsed/>
    <w:qFormat/>
    <w:uiPriority w:val="99"/>
    <w:pPr>
      <w:outlineLvl w:val="2"/>
    </w:pPr>
    <w:rPr>
      <w:b/>
      <w:sz w:val="26"/>
      <w:szCs w:val="2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pPr>
    <w:rPr>
      <w:sz w:val="18"/>
    </w:rPr>
  </w:style>
  <w:style w:type="paragraph" w:styleId="6">
    <w:name w:val="header"/>
    <w:basedOn w:val="1"/>
    <w:unhideWhenUsed/>
    <w:qFormat/>
    <w:uiPriority w:val="99"/>
    <w:pPr>
      <w:tabs>
        <w:tab w:val="center" w:pos="4153"/>
        <w:tab w:val="right" w:pos="8306"/>
      </w:tabs>
      <w:snapToGrid w:val="0"/>
      <w:jc w:val="both"/>
    </w:pPr>
    <w:rPr>
      <w:sz w:val="18"/>
    </w:rPr>
  </w:style>
  <w:style w:type="paragraph" w:customStyle="1" w:styleId="9">
    <w:name w:val="Table Paragraph"/>
    <w:basedOn w:val="1"/>
    <w:unhideWhenUsed/>
    <w:qFormat/>
    <w:uiPriority w:val="99"/>
  </w:style>
  <w:style w:type="character" w:customStyle="1" w:styleId="10">
    <w:name w:val="标题 1 字符"/>
    <w:basedOn w:val="8"/>
    <w:link w:val="2"/>
    <w:unhideWhenUsed/>
    <w:qFormat/>
    <w:locked/>
    <w:uiPriority w:val="9"/>
    <w:rPr>
      <w:rFonts w:hint="default" w:cs="Times New Roman"/>
      <w:b/>
      <w:kern w:val="44"/>
      <w:sz w:val="44"/>
      <w:szCs w:val="44"/>
    </w:rPr>
  </w:style>
  <w:style w:type="character" w:customStyle="1" w:styleId="11">
    <w:name w:val="标题 2 字符"/>
    <w:basedOn w:val="8"/>
    <w:link w:val="3"/>
    <w:unhideWhenUsed/>
    <w:qFormat/>
    <w:locked/>
    <w:uiPriority w:val="9"/>
    <w:rPr>
      <w:rFonts w:hint="eastAsia" w:ascii="Cambria" w:hAnsi="Cambria" w:eastAsia="宋体" w:cs="Times New Roman"/>
      <w:b/>
      <w:sz w:val="32"/>
      <w:szCs w:val="32"/>
    </w:rPr>
  </w:style>
  <w:style w:type="character" w:customStyle="1" w:styleId="12">
    <w:name w:val="标题 3 字符"/>
    <w:basedOn w:val="8"/>
    <w:link w:val="4"/>
    <w:unhideWhenUsed/>
    <w:qFormat/>
    <w:locked/>
    <w:uiPriority w:val="9"/>
    <w:rPr>
      <w:rFonts w:hint="default" w:cs="Times New Roman"/>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1257</Words>
  <Characters>7170</Characters>
  <Lines>59</Lines>
  <Paragraphs>16</Paragraphs>
  <TotalTime>0</TotalTime>
  <ScaleCrop>false</ScaleCrop>
  <LinksUpToDate>false</LinksUpToDate>
  <CharactersWithSpaces>8411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2023-09-18T14:41:00Z</dcterms:created>
  <dc:creator>Administrator</dc:creator>
  <cp:lastModifiedBy>uos</cp:lastModifiedBy>
  <dcterms:modified xsi:type="dcterms:W3CDTF">2023-09-25T10:55:27Z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1D9424708C2C480181C01E03BC770B1A_13</vt:lpwstr>
  </property>
</Properties>
</file>